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b/>
        </w:rPr>
        <w:t>Обґрунтування зміни тарифів КП «БГВУЖКГ»</w:t>
        <w:br/>
        <w:t>на теплову енергію для всіх груп споживачів</w:t>
        <w:br/>
        <w:t>на опалювальний період 2026–2027 років</w:t>
      </w:r>
    </w:p>
    <w:p>
      <w:pPr>
        <w:ind w:firstLine="567"/>
      </w:pPr>
      <w:r>
        <w:t>Діючі на даний час в КП "БГВУЖКГ" тарифи на теплову енергію для всіх груп споживачів:населення, бюджетних установ і організацій, інших споживачів були встановлені рішеннями виконавчого комітету Боярської міської ради, в т.р.:28 серпня 2025 року №74/3 для населення, а 25 серпня 2025 р.№3/16 для бюджетних установ і організацій та інших споживачів.</w:t>
      </w:r>
    </w:p>
    <w:p>
      <w:pPr>
        <w:ind w:firstLine="567"/>
      </w:pPr>
      <w:r>
        <w:t>Нині ці тарифи не відшкодовують фактичні витрати і через це комунальне підприємство отримує збитки. З 01 січня 2026 року, відповідно до постанови НКРЕ КП від 19.12.2025 року №2163 змінились тарифи на розподіл газу, за 1 куб.метр,в тому рахунку: з 01.01.2026 р. з 1,49 грн. до 1,69 грн.,а з 01.04.2026 р. до 1,99 грн. Також змінились тарифи на електроенергію для котелень, ціни на матеріали та інші послуги.</w:t>
      </w:r>
    </w:p>
    <w:p>
      <w:pPr>
        <w:ind w:firstLine="567"/>
      </w:pPr>
      <w:r>
        <w:t>Тому для стабільної роботи котелень та покращення економічної ситуації на підприємстві, а також виконуючи вимоги нового Закону України " Про житлово-комунальні послуги" ( зі змінами) виникла необхідність змінити тарифи на теплову енергію для всіх категорій споживачів.</w:t>
      </w:r>
    </w:p>
    <w:p>
      <w:pPr>
        <w:ind w:firstLine="567"/>
      </w:pPr>
      <w:r>
        <w:t>Розрахунок планових економічно обгрунтованих тарифів проведено відповідно до постанови Кабінету Міністрів України №869 від 01.06.2011 р. зі змінами, а також враховані зміни цін (тарифів) на електроенергію,матеріали і запчастини, паливно-мастильні,амортизацію.</w:t>
      </w:r>
    </w:p>
    <w:p>
      <w:pPr>
        <w:ind w:firstLine="567"/>
      </w:pPr>
      <w:r>
        <w:t>Так, мінімальна тарифна ставка робітника І-го розряду передбачена Галузевою угодою не менше 260 % розміру прожиткового мінімуму для працездатних осіб,(Галузева угода на 2023-2027 роки).</w:t>
      </w:r>
    </w:p>
    <w:p>
      <w:pPr>
        <w:ind w:firstLine="567"/>
      </w:pPr>
      <w:r>
        <w:t>Енергоносії : газ, електроенергія, вода, водовідведення враховані в тарифах відповідно до питомих норм витрат, згідно КТМ 204 України 244-94.</w:t>
      </w:r>
    </w:p>
    <w:p>
      <w:pPr>
        <w:ind w:firstLine="567"/>
      </w:pPr>
      <w:r>
        <w:t>Планові тарифи на теплову енергію розраховані з прибутком в 4% , відповідно до постанови КМУ від 29.04.2022 р.№502.</w:t>
      </w:r>
    </w:p>
    <w:p>
      <w:pPr>
        <w:keepNext/>
      </w:pPr>
      <w:r>
        <w:rPr>
          <w:b/>
        </w:rPr>
        <w:t>Тарифи на теплову енергію без ПДВ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953"/>
        <w:gridCol w:w="3458"/>
      </w:tblGrid>
      <w:tr>
        <w:tc>
          <w:tcPr>
            <w:tcW w:type="dxa" w:w="4706"/>
          </w:tcPr>
          <w:p>
            <w:pPr>
              <w:keepNext/>
              <w:spacing w:before="40" w:after="40"/>
            </w:pPr>
            <w:r>
              <w:rPr>
                <w:b/>
              </w:rPr>
              <w:t>Категорія</w:t>
            </w:r>
          </w:p>
        </w:tc>
        <w:tc>
          <w:tcPr>
            <w:tcW w:type="dxa" w:w="4706"/>
          </w:tcPr>
          <w:p>
            <w:pPr>
              <w:keepNext/>
              <w:spacing w:before="40" w:after="40"/>
            </w:pPr>
            <w:r>
              <w:rPr>
                <w:b/>
              </w:rPr>
              <w:t>Тариф, грн/Гкал</w:t>
            </w:r>
          </w:p>
        </w:tc>
      </w:tr>
      <w:tr>
        <w:tc>
          <w:tcPr>
            <w:tcW w:type="dxa" w:w="5953"/>
          </w:tcPr>
          <w:p>
            <w:pPr>
              <w:keepNext/>
              <w:spacing w:before="40" w:after="40"/>
            </w:pPr>
            <w:r>
              <w:t>Середньозважений</w:t>
            </w:r>
          </w:p>
        </w:tc>
        <w:tc>
          <w:tcPr>
            <w:tcW w:type="dxa" w:w="3458"/>
          </w:tcPr>
          <w:p>
            <w:pPr>
              <w:keepNext/>
              <w:spacing w:before="40" w:after="40"/>
              <w:jc w:val="right"/>
            </w:pPr>
            <w:r>
              <w:t>3 872,94</w:t>
            </w:r>
          </w:p>
        </w:tc>
      </w:tr>
      <w:tr>
        <w:tc>
          <w:tcPr>
            <w:tcW w:type="dxa" w:w="5953"/>
          </w:tcPr>
          <w:p>
            <w:pPr>
              <w:keepNext/>
              <w:spacing w:before="40" w:after="40"/>
            </w:pPr>
            <w:r>
              <w:t>Для бюджетних установ</w:t>
            </w:r>
          </w:p>
        </w:tc>
        <w:tc>
          <w:tcPr>
            <w:tcW w:type="dxa" w:w="3458"/>
          </w:tcPr>
          <w:p>
            <w:pPr>
              <w:keepNext/>
              <w:spacing w:before="40" w:after="40"/>
              <w:jc w:val="right"/>
            </w:pPr>
            <w:r>
              <w:t>4 482,76</w:t>
            </w:r>
          </w:p>
        </w:tc>
      </w:tr>
      <w:tr>
        <w:tc>
          <w:tcPr>
            <w:tcW w:type="dxa" w:w="5953"/>
          </w:tcPr>
          <w:p>
            <w:pPr>
              <w:keepNext/>
              <w:spacing w:before="40" w:after="40"/>
            </w:pPr>
            <w:r>
              <w:t>Для інших споживачів</w:t>
            </w:r>
          </w:p>
        </w:tc>
        <w:tc>
          <w:tcPr>
            <w:tcW w:type="dxa" w:w="3458"/>
          </w:tcPr>
          <w:p>
            <w:pPr>
              <w:keepNext/>
              <w:spacing w:before="40" w:after="40"/>
              <w:jc w:val="right"/>
            </w:pPr>
            <w:r>
              <w:t>4 183,60</w:t>
            </w:r>
          </w:p>
        </w:tc>
      </w:tr>
      <w:tr>
        <w:tc>
          <w:tcPr>
            <w:tcW w:type="dxa" w:w="5953"/>
          </w:tcPr>
          <w:p>
            <w:pPr>
              <w:keepNext/>
              <w:spacing w:before="40" w:after="40"/>
            </w:pPr>
            <w:r>
              <w:t>Для населення</w:t>
            </w:r>
          </w:p>
        </w:tc>
        <w:tc>
          <w:tcPr>
            <w:tcW w:type="dxa" w:w="3458"/>
          </w:tcPr>
          <w:p>
            <w:pPr>
              <w:keepNext/>
              <w:spacing w:before="40" w:after="40"/>
              <w:jc w:val="right"/>
            </w:pPr>
            <w:r>
              <w:t>3 766,51</w:t>
            </w:r>
          </w:p>
        </w:tc>
      </w:tr>
    </w:tbl>
    <w:p>
      <w:pPr>
        <w:spacing w:before="160"/>
        <w:jc w:val="right"/>
      </w:pPr>
      <w:r>
        <w:t>Адміністрація КП «БГВУЖКГ»</w:t>
      </w:r>
    </w:p>
    <w:sectPr w:rsidR="00FC693F" w:rsidRPr="0006063C" w:rsidSect="00034616">
      <w:pgSz w:w="11906" w:h="16838"/>
      <w:pgMar w:top="1020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0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