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64" w:after="0"/>
        <w:ind w:left="5223" w:hanging="0"/>
        <w:jc w:val="left"/>
        <w:rPr/>
      </w:pPr>
      <w:r>
        <w:rPr/>
        <w:t>ЗАТВЕРДЖЕНО</w:t>
      </w:r>
    </w:p>
    <w:p>
      <w:pPr>
        <w:pStyle w:val="Normal"/>
        <w:ind w:left="5223" w:hanging="0"/>
        <w:jc w:val="left"/>
        <w:rPr/>
      </w:pPr>
      <w:r>
        <w:rPr/>
        <w:t>Наказ</w:t>
      </w:r>
      <w:r>
        <w:rPr>
          <w:spacing w:val="-11"/>
        </w:rPr>
        <w:t xml:space="preserve"> Головного управління </w:t>
      </w:r>
      <w:r>
        <w:rPr/>
        <w:t>Пенсійного</w:t>
      </w:r>
      <w:r>
        <w:rPr>
          <w:spacing w:val="-11"/>
        </w:rPr>
        <w:t xml:space="preserve"> </w:t>
      </w:r>
      <w:r>
        <w:rPr/>
        <w:t>фонду</w:t>
      </w:r>
      <w:r>
        <w:rPr>
          <w:spacing w:val="-11"/>
        </w:rPr>
        <w:t xml:space="preserve"> </w:t>
      </w:r>
      <w:r>
        <w:rPr/>
        <w:t>України у Київській області</w:t>
      </w:r>
    </w:p>
    <w:p>
      <w:pPr>
        <w:pStyle w:val="Normal"/>
        <w:tabs>
          <w:tab w:val="clear" w:pos="708"/>
          <w:tab w:val="left" w:pos="7387" w:leader="none"/>
          <w:tab w:val="left" w:pos="8214" w:leader="none"/>
        </w:tabs>
        <w:ind w:left="5223" w:hanging="0"/>
        <w:jc w:val="left"/>
        <w:rPr>
          <w:spacing w:val="-1"/>
        </w:rPr>
      </w:pPr>
      <w:r>
        <w:rPr/>
        <w:t>25.03.2026</w:t>
      </w:r>
      <w:r>
        <w:rPr/>
        <w:t xml:space="preserve"> №</w:t>
      </w:r>
      <w:r>
        <w:rPr>
          <w:spacing w:val="-1"/>
        </w:rPr>
        <w:t xml:space="preserve"> </w:t>
      </w:r>
      <w:r>
        <w:rPr>
          <w:spacing w:val="-1"/>
        </w:rPr>
        <w:t>2112</w:t>
      </w:r>
    </w:p>
    <w:p>
      <w:pPr>
        <w:pStyle w:val="Normal"/>
        <w:tabs>
          <w:tab w:val="clear" w:pos="708"/>
          <w:tab w:val="left" w:pos="7387" w:leader="none"/>
          <w:tab w:val="left" w:pos="8214" w:leader="none"/>
        </w:tabs>
        <w:ind w:left="5223" w:hanging="0"/>
        <w:rPr>
          <w:spacing w:val="-1"/>
        </w:rPr>
      </w:pPr>
      <w:r>
        <w:rPr>
          <w:spacing w:val="-1"/>
        </w:rPr>
      </w:r>
    </w:p>
    <w:p>
      <w:pPr>
        <w:pStyle w:val="Normal"/>
        <w:tabs>
          <w:tab w:val="clear" w:pos="708"/>
          <w:tab w:val="left" w:pos="7387" w:leader="none"/>
          <w:tab w:val="left" w:pos="8214" w:leader="none"/>
        </w:tabs>
        <w:ind w:left="5223" w:hanging="0"/>
        <w:rPr/>
      </w:pPr>
      <w:r>
        <w:rPr/>
      </w:r>
    </w:p>
    <w:p>
      <w:pPr>
        <w:pStyle w:val="Normal"/>
        <w:spacing w:before="88" w:after="0"/>
        <w:ind w:left="2599" w:right="2663" w:hanging="0"/>
        <w:jc w:val="center"/>
        <w:rPr>
          <w:b/>
        </w:rPr>
      </w:pPr>
      <w:r>
        <w:rPr>
          <w:b/>
        </w:rPr>
        <w:t>ІНФОРМАЦІЙНА</w:t>
      </w:r>
      <w:r>
        <w:rPr>
          <w:b/>
          <w:spacing w:val="-8"/>
        </w:rPr>
        <w:t xml:space="preserve"> </w:t>
      </w:r>
      <w:r>
        <w:rPr>
          <w:b/>
        </w:rPr>
        <w:t>КАРТКА</w:t>
      </w:r>
    </w:p>
    <w:p>
      <w:pPr>
        <w:pStyle w:val="Default"/>
        <w:jc w:val="center"/>
        <w:rPr>
          <w:b/>
          <w:color w:val="auto"/>
          <w:sz w:val="26"/>
          <w:szCs w:val="26"/>
        </w:rPr>
      </w:pPr>
      <w:r>
        <w:rPr>
          <w:b/>
          <w:bCs/>
          <w:color w:val="000000" w:themeColor="text1"/>
          <w:sz w:val="28"/>
          <w:szCs w:val="28"/>
          <w:shd w:fill="FFFFFF" w:val="clear"/>
        </w:rPr>
        <w:t>адміністративної послуги з</w:t>
      </w:r>
      <w:r>
        <w:rPr>
          <w:b/>
          <w:bCs/>
          <w:color w:val="000000"/>
          <w:sz w:val="26"/>
          <w:szCs w:val="26"/>
          <w:shd w:fill="FFFFFF" w:val="clear"/>
        </w:rPr>
        <w:t xml:space="preserve"> переоформлення та видачі пенсійного посвідчення</w:t>
      </w:r>
    </w:p>
    <w:p>
      <w:pPr>
        <w:pStyle w:val="Default"/>
        <w:jc w:val="center"/>
        <w:rPr>
          <w:b/>
          <w:color w:val="auto"/>
          <w:sz w:val="26"/>
          <w:szCs w:val="26"/>
        </w:rPr>
      </w:pPr>
      <w:r>
        <w:rPr>
          <w:b/>
          <w:bCs/>
          <w:color w:val="000000"/>
          <w:sz w:val="26"/>
          <w:szCs w:val="26"/>
          <w:shd w:fill="FFFFFF" w:val="clear"/>
        </w:rPr>
        <w:t xml:space="preserve"> </w:t>
      </w:r>
    </w:p>
    <w:p>
      <w:pPr>
        <w:pStyle w:val="Normal"/>
        <w:ind w:right="-143" w:hanging="0"/>
        <w:jc w:val="center"/>
        <w:rPr>
          <w:b/>
          <w:bCs/>
          <w:u w:val="single"/>
        </w:rPr>
      </w:pPr>
      <w:r>
        <w:rPr>
          <w:b/>
          <w:bCs/>
          <w:szCs w:val="28"/>
          <w:u w:val="single"/>
        </w:rPr>
        <w:t>Головне управління Пенсійного фонду України у Київській області</w:t>
      </w:r>
    </w:p>
    <w:p>
      <w:pPr>
        <w:pStyle w:val="Normal"/>
        <w:jc w:val="center"/>
        <w:rPr>
          <w:sz w:val="26"/>
          <w:szCs w:val="26"/>
        </w:rPr>
      </w:pPr>
      <w:r>
        <w:rPr>
          <w:sz w:val="26"/>
          <w:szCs w:val="26"/>
        </w:rPr>
        <w:t>(</w:t>
      </w:r>
      <w:r>
        <w:rPr>
          <w:b w:val="false"/>
          <w:bCs w:val="false"/>
          <w:color w:val="000000" w:themeColor="text1"/>
          <w:sz w:val="28"/>
          <w:szCs w:val="28"/>
        </w:rPr>
        <w:t>найменування суб’єкта надання адміністративної послуги / центру надання адміністративних послуг</w:t>
      </w:r>
      <w:r>
        <w:rPr>
          <w:sz w:val="26"/>
          <w:szCs w:val="26"/>
        </w:rPr>
        <w:t>)</w:t>
      </w:r>
    </w:p>
    <w:p>
      <w:pPr>
        <w:pStyle w:val="Normal"/>
        <w:jc w:val="center"/>
        <w:rPr>
          <w:sz w:val="26"/>
          <w:szCs w:val="26"/>
        </w:rPr>
      </w:pPr>
      <w:r>
        <w:rPr>
          <w:sz w:val="26"/>
          <w:szCs w:val="26"/>
        </w:rPr>
      </w:r>
    </w:p>
    <w:tbl>
      <w:tblPr>
        <w:tblW w:w="4950" w:type="pct"/>
        <w:jc w:val="left"/>
        <w:tblInd w:w="60" w:type="dxa"/>
        <w:tblLayout w:type="fixed"/>
        <w:tblCellMar>
          <w:top w:w="60" w:type="dxa"/>
          <w:left w:w="60" w:type="dxa"/>
          <w:bottom w:w="60" w:type="dxa"/>
          <w:right w:w="60" w:type="dxa"/>
        </w:tblCellMar>
        <w:tblLook w:firstRow="1" w:noVBand="1" w:lastRow="0" w:firstColumn="1" w:lastColumn="0" w:noHBand="0" w:val="04a0"/>
      </w:tblPr>
      <w:tblGrid>
        <w:gridCol w:w="576"/>
        <w:gridCol w:w="2727"/>
        <w:gridCol w:w="6238"/>
      </w:tblGrid>
      <w:tr>
        <w:trPr/>
        <w:tc>
          <w:tcPr>
            <w:tcW w:w="9541" w:type="dxa"/>
            <w:gridSpan w:val="3"/>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bookmarkStart w:id="0" w:name="n14"/>
            <w:bookmarkEnd w:id="0"/>
            <w:r>
              <w:rPr>
                <w:b/>
                <w:sz w:val="28"/>
                <w:szCs w:val="28"/>
              </w:rPr>
              <w:t>Інформація про суб’єкта надання послуги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Місцезнаходження</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hanging="0"/>
              <w:rPr>
                <w:rStyle w:val="21"/>
                <w:i w:val="false"/>
                <w:i w:val="false"/>
                <w:sz w:val="26"/>
                <w:szCs w:val="26"/>
              </w:rPr>
            </w:pPr>
            <w:r>
              <w:rPr>
                <w:rStyle w:val="21"/>
                <w:i w:val="false"/>
                <w:color w:val="000000"/>
                <w:szCs w:val="28"/>
              </w:rPr>
              <w:t>Юридична адреса: Київська область, м. Фастів, вул. Саєнка Андрія, 10</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2.</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Інформація щодо режиму роботи</w:t>
            </w:r>
          </w:p>
        </w:tc>
        <w:tc>
          <w:tcPr>
            <w:tcW w:w="6238" w:type="dxa"/>
            <w:tcBorders>
              <w:top w:val="outset" w:sz="6" w:space="0" w:color="000000"/>
              <w:left w:val="outset" w:sz="6" w:space="0" w:color="000000"/>
              <w:bottom w:val="outset" w:sz="6" w:space="0" w:color="000000"/>
              <w:right w:val="outset" w:sz="6" w:space="0" w:color="000000"/>
            </w:tcBorders>
          </w:tcPr>
          <w:p>
            <w:pPr>
              <w:pStyle w:val="TableParagraph"/>
              <w:widowControl w:val="false"/>
              <w:tabs>
                <w:tab w:val="clear" w:pos="708"/>
                <w:tab w:val="left" w:pos="1918" w:leader="none"/>
                <w:tab w:val="left" w:pos="2971" w:leader="none"/>
                <w:tab w:val="left" w:pos="4082" w:leader="none"/>
                <w:tab w:val="left" w:pos="5750" w:leader="none"/>
              </w:tabs>
              <w:suppressAutoHyphens w:val="true"/>
              <w:bidi w:val="0"/>
              <w:spacing w:lineRule="auto" w:line="240" w:before="0" w:after="0"/>
              <w:ind w:left="57" w:right="57" w:hanging="0"/>
              <w:jc w:val="both"/>
              <w:rPr>
                <w:sz w:val="28"/>
                <w:szCs w:val="28"/>
              </w:rPr>
            </w:pPr>
            <w:r>
              <w:rPr>
                <w:sz w:val="28"/>
                <w:szCs w:val="28"/>
              </w:rPr>
              <w:t>Понеділок - четвер 08.00 - 17.00</w:t>
            </w:r>
          </w:p>
          <w:p>
            <w:pPr>
              <w:pStyle w:val="TableParagraph"/>
              <w:widowControl w:val="false"/>
              <w:tabs>
                <w:tab w:val="clear" w:pos="708"/>
                <w:tab w:val="left" w:pos="1918" w:leader="none"/>
                <w:tab w:val="left" w:pos="2971" w:leader="none"/>
                <w:tab w:val="left" w:pos="4082" w:leader="none"/>
                <w:tab w:val="left" w:pos="5750" w:leader="none"/>
              </w:tabs>
              <w:suppressAutoHyphens w:val="true"/>
              <w:bidi w:val="0"/>
              <w:spacing w:lineRule="auto" w:line="240" w:before="0" w:after="0"/>
              <w:ind w:left="57" w:right="57" w:hanging="0"/>
              <w:jc w:val="both"/>
              <w:rPr>
                <w:sz w:val="28"/>
                <w:szCs w:val="28"/>
              </w:rPr>
            </w:pPr>
            <w:r>
              <w:rPr>
                <w:rStyle w:val="Style12"/>
                <w:i w:val="false"/>
                <w:iCs w:val="false"/>
                <w:sz w:val="28"/>
                <w:szCs w:val="28"/>
              </w:rPr>
              <w:t>П’ятниця 08.00 - 15.45</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3.</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Телефон, адреса</w:t>
            </w:r>
          </w:p>
          <w:p>
            <w:pPr>
              <w:pStyle w:val="Normal"/>
              <w:widowControl w:val="false"/>
              <w:jc w:val="left"/>
              <w:rPr>
                <w:sz w:val="28"/>
                <w:szCs w:val="28"/>
              </w:rPr>
            </w:pPr>
            <w:r>
              <w:rPr>
                <w:sz w:val="28"/>
                <w:szCs w:val="28"/>
              </w:rPr>
              <w:t>електронної пошти,</w:t>
            </w:r>
          </w:p>
          <w:p>
            <w:pPr>
              <w:pStyle w:val="Normal"/>
              <w:widowControl w:val="false"/>
              <w:jc w:val="left"/>
              <w:rPr>
                <w:sz w:val="28"/>
                <w:szCs w:val="28"/>
              </w:rPr>
            </w:pPr>
            <w:r>
              <w:rPr>
                <w:sz w:val="28"/>
                <w:szCs w:val="28"/>
              </w:rPr>
              <w:t>вебсайт</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hanging="0"/>
              <w:rPr>
                <w:rStyle w:val="21"/>
                <w:i w:val="false"/>
                <w:i w:val="false"/>
                <w:szCs w:val="28"/>
              </w:rPr>
            </w:pPr>
            <w:r>
              <w:rPr>
                <w:rStyle w:val="21"/>
                <w:i w:val="false"/>
                <w:szCs w:val="28"/>
              </w:rPr>
              <w:t>0 800 505 780</w:t>
            </w:r>
          </w:p>
          <w:p>
            <w:pPr>
              <w:pStyle w:val="Normal"/>
              <w:widowControl w:val="false"/>
              <w:tabs>
                <w:tab w:val="clear" w:pos="708"/>
                <w:tab w:val="left" w:pos="229" w:leader="none"/>
              </w:tabs>
              <w:ind w:hanging="0"/>
              <w:rPr>
                <w:lang w:val="en-US"/>
              </w:rPr>
            </w:pPr>
            <w:r>
              <w:rPr>
                <w:lang w:val="en-US"/>
              </w:rPr>
              <w:t>gu@ko.pfu.gov.ua</w:t>
            </w:r>
          </w:p>
          <w:p>
            <w:pPr>
              <w:pStyle w:val="Normal"/>
              <w:widowControl w:val="false"/>
              <w:tabs>
                <w:tab w:val="clear" w:pos="708"/>
                <w:tab w:val="left" w:pos="229" w:leader="none"/>
              </w:tabs>
              <w:ind w:hanging="0"/>
              <w:rPr>
                <w:rStyle w:val="21"/>
                <w:i w:val="false"/>
                <w:i w:val="false"/>
                <w:sz w:val="26"/>
                <w:szCs w:val="26"/>
              </w:rPr>
            </w:pPr>
            <w:r>
              <w:rPr>
                <w:rStyle w:val="Style12"/>
                <w:i w:val="false"/>
                <w:sz w:val="26"/>
                <w:szCs w:val="26"/>
                <w:lang w:val="en-US"/>
              </w:rPr>
              <w:t>http://www.pfu.gov.ua/ko/</w:t>
            </w:r>
          </w:p>
        </w:tc>
      </w:tr>
      <w:tr>
        <w:trPr/>
        <w:tc>
          <w:tcPr>
            <w:tcW w:w="9541" w:type="dxa"/>
            <w:gridSpan w:val="3"/>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jc w:val="center"/>
              <w:rPr>
                <w:sz w:val="28"/>
                <w:szCs w:val="28"/>
              </w:rPr>
            </w:pPr>
            <w:r>
              <w:rPr/>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4.</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Закони України</w:t>
            </w:r>
          </w:p>
        </w:tc>
        <w:tc>
          <w:tcPr>
            <w:tcW w:w="6238" w:type="dxa"/>
            <w:tcBorders>
              <w:top w:val="outset" w:sz="6" w:space="0" w:color="000000"/>
              <w:left w:val="outset" w:sz="6" w:space="0" w:color="000000"/>
              <w:bottom w:val="outset" w:sz="6" w:space="0" w:color="000000"/>
              <w:right w:val="outset" w:sz="6" w:space="0" w:color="000000"/>
            </w:tcBorders>
          </w:tcPr>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lang w:val="ru-RU"/>
              </w:rPr>
              <w:t>Закон України “Про пенсійне забезпечення осіб, звільнених з військової служби, та деяких інших осіб”;</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lang w:val="ru-RU"/>
              </w:rPr>
              <w:t>Закон України “Про загальнообов’язкове державне пенсійне страхування”;</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lang w:val="ru-RU"/>
              </w:rPr>
              <w:t>Закон України процедуру”.</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5.</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Акти Кабінету Міністрів України</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rPr>
                <w:sz w:val="28"/>
                <w:szCs w:val="28"/>
              </w:rPr>
            </w:pPr>
            <w:r>
              <w:rPr>
                <w:sz w:val="28"/>
                <w:szCs w:val="28"/>
              </w:rPr>
              <w:t>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6.</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Акти центральних органів виконавчої влади</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rPr>
                <w:sz w:val="28"/>
                <w:szCs w:val="28"/>
              </w:rPr>
            </w:pPr>
            <w:r>
              <w:rPr>
                <w:color w:val="000000" w:themeColor="text1"/>
                <w:sz w:val="28"/>
                <w:szCs w:val="28"/>
              </w:rPr>
              <w:t>Положення про організацію прийому та обслуговування осіб, які звертаються до органів Пенсійного фонду України, затверджене постановою правління Пенсійного фонду України від 30 липня 2015 року № 13-1, зареєстроване в Міністерстві юстиції України 18 серпня 2015 року за №991/27436;</w:t>
            </w:r>
          </w:p>
          <w:p>
            <w:pPr>
              <w:pStyle w:val="Normal"/>
              <w:widowControl w:val="false"/>
              <w:tabs>
                <w:tab w:val="clear" w:pos="708"/>
                <w:tab w:val="left" w:pos="229" w:leader="none"/>
              </w:tabs>
              <w:ind w:firstLine="390"/>
              <w:rPr>
                <w:sz w:val="28"/>
                <w:szCs w:val="28"/>
              </w:rPr>
            </w:pPr>
            <w:r>
              <w:rPr>
                <w:color w:val="000000" w:themeColor="text1"/>
                <w:sz w:val="28"/>
                <w:szCs w:val="28"/>
              </w:rPr>
              <w:t>Порядок оформлення, виготовлення та видачі документів, що підтверджують призначення особі пенсії, затверджений постановою правління Пенсійного фонду України від 03 листопада 2017 року № 26-1, зареєстрований в Міністерстві юстиції України 04 грудня 2017 року за № 1464/31332 (далі– Порядок № 26-1).</w:t>
            </w:r>
          </w:p>
        </w:tc>
      </w:tr>
      <w:tr>
        <w:trPr/>
        <w:tc>
          <w:tcPr>
            <w:tcW w:w="9541" w:type="dxa"/>
            <w:gridSpan w:val="3"/>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jc w:val="center"/>
              <w:rPr>
                <w:sz w:val="28"/>
                <w:szCs w:val="28"/>
              </w:rPr>
            </w:pPr>
            <w:r>
              <w:rPr>
                <w:b/>
                <w:sz w:val="28"/>
                <w:szCs w:val="28"/>
              </w:rPr>
              <w:t>Умови отримання послуги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7.</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Особи, які мають право на отримання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Default"/>
              <w:widowControl w:val="false"/>
              <w:tabs>
                <w:tab w:val="clear" w:pos="708"/>
                <w:tab w:val="left" w:pos="229" w:leader="none"/>
              </w:tabs>
              <w:ind w:firstLine="390"/>
              <w:jc w:val="both"/>
              <w:rPr>
                <w:sz w:val="28"/>
                <w:szCs w:val="28"/>
              </w:rPr>
            </w:pPr>
            <w:r>
              <w:rPr>
                <w:color w:val="000000" w:themeColor="text1"/>
                <w:sz w:val="28"/>
                <w:szCs w:val="28"/>
                <w:shd w:fill="FFFFFF" w:val="clear"/>
              </w:rPr>
              <w:t>Звернення особи, якій призначено пенсію.</w:t>
            </w:r>
          </w:p>
          <w:p>
            <w:pPr>
              <w:pStyle w:val="Default"/>
              <w:widowControl w:val="false"/>
              <w:tabs>
                <w:tab w:val="clear" w:pos="708"/>
                <w:tab w:val="left" w:pos="229" w:leader="none"/>
              </w:tabs>
              <w:ind w:firstLine="390"/>
              <w:jc w:val="both"/>
              <w:rPr>
                <w:sz w:val="28"/>
                <w:szCs w:val="28"/>
              </w:rPr>
            </w:pPr>
            <w:r>
              <w:rPr>
                <w:color w:val="000000" w:themeColor="text1"/>
                <w:sz w:val="28"/>
                <w:szCs w:val="28"/>
                <w:shd w:fill="FFFFFF" w:val="clear"/>
              </w:rPr>
              <w:t>За недієздатних осіб, осіб, дієздатність яких обмежено, малолітніх або неповнолітніх осіб звернення їх законних представників.</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8.</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Підстава для отримання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Rvps2"/>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Звернення до суб’єкта надання адміністративної послуги / центрів надання адміністративних послуг.</w:t>
            </w:r>
          </w:p>
        </w:tc>
      </w:tr>
      <w:tr>
        <w:trPr>
          <w:trHeight w:val="1760" w:hRule="atLeast"/>
        </w:trPr>
        <w:tc>
          <w:tcPr>
            <w:tcW w:w="576" w:type="dxa"/>
            <w:tcBorders>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9.</w:t>
            </w:r>
          </w:p>
        </w:tc>
        <w:tc>
          <w:tcPr>
            <w:tcW w:w="2727" w:type="dxa"/>
            <w:tcBorders>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Перелік необхідних документів</w:t>
            </w:r>
          </w:p>
        </w:tc>
        <w:tc>
          <w:tcPr>
            <w:tcW w:w="6238" w:type="dxa"/>
            <w:tcBorders>
              <w:left w:val="outset" w:sz="6" w:space="0" w:color="000000"/>
              <w:bottom w:val="outset" w:sz="6" w:space="0" w:color="000000"/>
              <w:right w:val="outset" w:sz="6" w:space="0" w:color="000000"/>
            </w:tcBorders>
          </w:tcPr>
          <w:p>
            <w:pPr>
              <w:pStyle w:val="Normal"/>
              <w:widowControl w:val="false"/>
              <w:shd w:val="clear" w:color="auto" w:fill="FFFFFF"/>
              <w:suppressAutoHyphens w:val="true"/>
              <w:bidi w:val="0"/>
              <w:spacing w:lineRule="auto" w:line="240" w:before="0" w:after="150"/>
              <w:ind w:left="113" w:right="113" w:firstLine="340"/>
              <w:contextualSpacing/>
              <w:jc w:val="both"/>
              <w:rPr>
                <w:sz w:val="28"/>
                <w:szCs w:val="28"/>
              </w:rPr>
            </w:pPr>
            <w:r>
              <w:rPr>
                <w:color w:val="000000" w:themeColor="text1"/>
                <w:sz w:val="28"/>
                <w:szCs w:val="28"/>
              </w:rPr>
              <w:t>Заявник, особа якого посвідчується паспортом громадянина України або іншим документом, що посвідчує особу (паспортний документ іноземця / посвідка на постійне проживання / посвідчення біженця / посвідчення особи, яка потребує додаткового захисту), пред’являє документ, що засвідчує реєстрацію особи в Державному реєстрі фізичних осіб– платників податків (картка платника податків), або дані про реєстраційний номер облікової картки платника податків із зазначеного Державного реєстру, внесені до паспорта громадянина України або свідоцтва про народження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w:t>
            </w:r>
          </w:p>
          <w:p>
            <w:pPr>
              <w:pStyle w:val="Normal"/>
              <w:widowControl w:val="false"/>
              <w:shd w:val="clear" w:color="auto" w:fill="FFFFFF"/>
              <w:suppressAutoHyphens w:val="true"/>
              <w:bidi w:val="0"/>
              <w:spacing w:lineRule="auto" w:line="240" w:before="0" w:after="150"/>
              <w:ind w:left="113" w:right="113" w:firstLine="340"/>
              <w:contextualSpacing/>
              <w:jc w:val="both"/>
              <w:rPr>
                <w:sz w:val="28"/>
                <w:szCs w:val="28"/>
              </w:rPr>
            </w:pPr>
            <w:r>
              <w:rPr>
                <w:color w:val="000000" w:themeColor="text1"/>
                <w:sz w:val="28"/>
                <w:szCs w:val="28"/>
              </w:rPr>
              <w:t>заява за формою згідно з додатком 1 до Порядку №26-1;</w:t>
            </w:r>
          </w:p>
          <w:p>
            <w:pPr>
              <w:pStyle w:val="Normal"/>
              <w:widowControl w:val="false"/>
              <w:shd w:val="clear" w:color="auto" w:fill="FFFFFF"/>
              <w:suppressAutoHyphens w:val="true"/>
              <w:bidi w:val="0"/>
              <w:spacing w:lineRule="auto" w:line="240" w:before="0" w:after="150"/>
              <w:ind w:left="113" w:right="113" w:firstLine="340"/>
              <w:contextualSpacing/>
              <w:jc w:val="both"/>
              <w:rPr>
                <w:sz w:val="28"/>
                <w:szCs w:val="28"/>
              </w:rPr>
            </w:pPr>
            <w:r>
              <w:rPr>
                <w:color w:val="000000" w:themeColor="text1"/>
                <w:sz w:val="28"/>
                <w:szCs w:val="28"/>
              </w:rPr>
              <w:t>фотокартка одержувача пенсії (законного представника) розміром 35 × 40 міліметрів;</w:t>
            </w:r>
          </w:p>
          <w:p>
            <w:pPr>
              <w:pStyle w:val="Normal"/>
              <w:widowControl w:val="false"/>
              <w:shd w:val="clear" w:color="auto" w:fill="FFFFFF"/>
              <w:suppressAutoHyphens w:val="true"/>
              <w:bidi w:val="0"/>
              <w:spacing w:lineRule="auto" w:line="240" w:before="0" w:after="150"/>
              <w:ind w:left="113" w:right="113" w:firstLine="340"/>
              <w:contextualSpacing/>
              <w:jc w:val="both"/>
              <w:rPr>
                <w:sz w:val="28"/>
                <w:szCs w:val="28"/>
              </w:rPr>
            </w:pPr>
            <w:r>
              <w:rPr>
                <w:color w:val="000000" w:themeColor="text1"/>
                <w:sz w:val="28"/>
                <w:szCs w:val="28"/>
              </w:rPr>
              <w:t>документи законного представника, опікуна чи піклувальника, а також документи, що підтверджують статус законного представника особи, якій призначено пенсію, чи її піклувальника (відповідне посвідчення, свідоцтво про народження, рішення суду тощо та документи, що дають змогу ідентифікувати одержувача пенсій);</w:t>
            </w:r>
          </w:p>
          <w:p>
            <w:pPr>
              <w:pStyle w:val="Normal"/>
              <w:widowControl w:val="false"/>
              <w:shd w:val="clear" w:color="auto" w:fill="FFFFFF"/>
              <w:suppressAutoHyphens w:val="true"/>
              <w:bidi w:val="0"/>
              <w:spacing w:lineRule="auto" w:line="240" w:before="0" w:after="150"/>
              <w:ind w:left="113" w:right="113" w:firstLine="340"/>
              <w:contextualSpacing/>
              <w:jc w:val="both"/>
              <w:rPr>
                <w:sz w:val="28"/>
                <w:szCs w:val="28"/>
              </w:rPr>
            </w:pPr>
            <w:r>
              <w:rPr>
                <w:color w:val="000000" w:themeColor="text1"/>
                <w:sz w:val="28"/>
                <w:szCs w:val="28"/>
              </w:rPr>
              <w:t>попередньо видане пенсійне посвідчення (при заміні пенсійного посвідчення) (за наявності).</w:t>
            </w:r>
          </w:p>
        </w:tc>
      </w:tr>
      <w:tr>
        <w:trPr/>
        <w:tc>
          <w:tcPr>
            <w:tcW w:w="576" w:type="dxa"/>
            <w:tcBorders>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10.</w:t>
            </w:r>
          </w:p>
        </w:tc>
        <w:tc>
          <w:tcPr>
            <w:tcW w:w="2727" w:type="dxa"/>
            <w:tcBorders>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Спосіб подання документів</w:t>
            </w:r>
          </w:p>
        </w:tc>
        <w:tc>
          <w:tcPr>
            <w:tcW w:w="6238" w:type="dxa"/>
            <w:tcBorders>
              <w:left w:val="outset" w:sz="6" w:space="0" w:color="000000"/>
              <w:bottom w:val="outset" w:sz="6" w:space="0" w:color="000000"/>
              <w:right w:val="outset" w:sz="6" w:space="0" w:color="000000"/>
            </w:tcBorders>
          </w:tcPr>
          <w:p>
            <w:pPr>
              <w:pStyle w:val="Normal"/>
              <w:widowControl w:val="false"/>
              <w:ind w:firstLine="390"/>
              <w:rPr>
                <w:sz w:val="28"/>
                <w:szCs w:val="28"/>
              </w:rPr>
            </w:pPr>
            <w:r>
              <w:rPr>
                <w:sz w:val="28"/>
                <w:szCs w:val="28"/>
              </w:rPr>
              <w:t>Особисте звернення до сервісних центрів головних управлінь Пенсійного фонду України в областях та м. Києві, адміністративних послуг;</w:t>
            </w:r>
          </w:p>
          <w:p>
            <w:pPr>
              <w:pStyle w:val="Normal"/>
              <w:widowControl w:val="false"/>
              <w:ind w:firstLine="390"/>
              <w:rPr>
                <w:sz w:val="28"/>
                <w:szCs w:val="28"/>
              </w:rPr>
            </w:pPr>
            <w:r>
              <w:rPr>
                <w:sz w:val="28"/>
                <w:szCs w:val="28"/>
              </w:rPr>
              <w:t>в електронній формі центрів через надання вебпортал електронних послуг, мобільний додаток Пенсійного фонду України з накладенням кваліфікованого електронного підпису електронного підпису, або удосконаленого що базується на кваліфікованому сертифікаті електронного підпису.</w:t>
            </w:r>
          </w:p>
        </w:tc>
      </w:tr>
      <w:tr>
        <w:trPr>
          <w:trHeight w:val="735" w:hRule="atLeast"/>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11.</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Платність (безоплатність) надання</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rPr>
                <w:sz w:val="28"/>
                <w:szCs w:val="28"/>
              </w:rPr>
            </w:pPr>
            <w:r>
              <w:rPr>
                <w:sz w:val="28"/>
                <w:szCs w:val="28"/>
              </w:rPr>
              <w:t>Безоплатно.</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12.</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Строк надання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390"/>
              <w:rPr>
                <w:sz w:val="28"/>
                <w:szCs w:val="28"/>
              </w:rPr>
            </w:pPr>
            <w:r>
              <w:rPr>
                <w:sz w:val="28"/>
                <w:szCs w:val="28"/>
              </w:rPr>
              <w:t>Протягом 30 робочих днів з дня прийняття заяви.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 xml:space="preserve"> </w:t>
            </w:r>
            <w:r>
              <w:rPr>
                <w:sz w:val="28"/>
                <w:szCs w:val="28"/>
              </w:rPr>
              <w:t>13.</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color w:val="000000" w:themeColor="text1"/>
                <w:sz w:val="28"/>
                <w:szCs w:val="28"/>
              </w:rPr>
              <w:t>Перелік підстав для відмови в наданні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ind w:firstLine="372"/>
              <w:rPr>
                <w:sz w:val="28"/>
                <w:szCs w:val="28"/>
              </w:rPr>
            </w:pPr>
            <w:r>
              <w:rPr>
                <w:color w:val="000000" w:themeColor="text1"/>
                <w:sz w:val="28"/>
                <w:szCs w:val="28"/>
              </w:rPr>
              <w:t xml:space="preserve"> </w:t>
            </w:r>
            <w:r>
              <w:rPr>
                <w:color w:val="000000"/>
                <w:sz w:val="28"/>
                <w:szCs w:val="28"/>
                <w:shd w:fill="FFFFFF" w:val="clear"/>
              </w:rPr>
              <w:t>Не надано документи, що посвідчують особу або її повноваження / не здійснено електронну ідентифікацію фізичної особи.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 xml:space="preserve"> </w:t>
            </w:r>
            <w:r>
              <w:rPr>
                <w:sz w:val="28"/>
                <w:szCs w:val="28"/>
              </w:rPr>
              <w:t>14.</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Результат надання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Документ, що підтверджує призначення особі пенсії (за її вибором):</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формування пенсійного посвідчення в електронній формі (е-пенсійне посвідчення) без виготовлення паперового пенсійного посвідчення або електронного (засобами пенсійного посвідчення Єдиного державного вебпорталу електронних послуг (далі – Портал Дія), зокрема з використанням мобільного додатка Порталу Дія (Дія));</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видача пенсійного посвідчення (особисто особі, якій призначено пенсію, або її представнику, який діє на підставі виданої йому довіреності, посвідченої нотаріально / законному представнику) у паперовій формі– безпосередньо зазначеним у заяві сервісним центром територіального органу Пенсійного фонду України, електронного пенсійного посвідчення– зазначеним у заяві відділенням банку.</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Електронне відображення пенсійного посвідчення формується особі засобами Порталу Дія за допомогою мобільного додатка Порталу Дія (Дія) (автоматично за наявності в реєстрі застрахованих осіб Державного реєстру загальнообов’язкового державного соціального страхування відомостей про виготовлений особі документ, що підтверджує призначення їй пенсії).</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 xml:space="preserve"> </w:t>
            </w:r>
            <w:r>
              <w:rPr>
                <w:sz w:val="28"/>
                <w:szCs w:val="28"/>
              </w:rPr>
              <w:t>15.</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color w:val="000000" w:themeColor="text1"/>
                <w:sz w:val="28"/>
                <w:szCs w:val="28"/>
              </w:rPr>
              <w:t>Способи отримання відповіді (результату)</w:t>
            </w:r>
          </w:p>
        </w:tc>
        <w:tc>
          <w:tcPr>
            <w:tcW w:w="6238" w:type="dxa"/>
            <w:tcBorders>
              <w:top w:val="outset" w:sz="6" w:space="0" w:color="000000"/>
              <w:left w:val="outset" w:sz="6" w:space="0" w:color="000000"/>
              <w:bottom w:val="outset" w:sz="6" w:space="0" w:color="000000"/>
              <w:right w:val="outset" w:sz="6" w:space="0" w:color="000000"/>
            </w:tcBorders>
          </w:tcPr>
          <w:p>
            <w:pPr>
              <w:pStyle w:val="NormalWeb"/>
              <w:widowControl w:val="false"/>
              <w:shd w:val="clear" w:color="auto" w:fill="FFFFFF"/>
              <w:spacing w:beforeAutospacing="0" w:before="0" w:afterAutospacing="0" w:after="0"/>
              <w:ind w:firstLine="390"/>
              <w:jc w:val="both"/>
              <w:textAlignment w:val="baseline"/>
              <w:rPr>
                <w:sz w:val="28"/>
                <w:szCs w:val="28"/>
              </w:rPr>
            </w:pPr>
            <w:r>
              <w:rPr>
                <w:color w:val="000000" w:themeColor="text1"/>
                <w:sz w:val="28"/>
                <w:szCs w:val="28"/>
              </w:rPr>
              <w:t>У спосіб, визначений у заяві.</w:t>
            </w:r>
          </w:p>
        </w:tc>
      </w:tr>
    </w:tbl>
    <w:p>
      <w:pPr>
        <w:pStyle w:val="Normal"/>
        <w:rPr>
          <w:szCs w:val="28"/>
        </w:rPr>
      </w:pPr>
      <w:r>
        <w:rPr>
          <w:szCs w:val="28"/>
        </w:rPr>
      </w:r>
    </w:p>
    <w:p>
      <w:pPr>
        <w:pStyle w:val="Normal"/>
        <w:rPr>
          <w:szCs w:val="28"/>
        </w:rPr>
      </w:pPr>
      <w:r>
        <w:rPr>
          <w:szCs w:val="28"/>
        </w:rPr>
      </w:r>
      <w:bookmarkStart w:id="1" w:name="n43"/>
      <w:bookmarkStart w:id="2" w:name="n43"/>
      <w:bookmarkEnd w:id="2"/>
    </w:p>
    <w:p>
      <w:pPr>
        <w:pStyle w:val="Normal"/>
        <w:rPr>
          <w:b/>
          <w:szCs w:val="28"/>
        </w:rPr>
      </w:pPr>
      <w:r>
        <w:rPr>
          <w:b/>
          <w:szCs w:val="28"/>
        </w:rPr>
        <w:t xml:space="preserve">В.о. начальника </w:t>
      </w:r>
    </w:p>
    <w:p>
      <w:pPr>
        <w:pStyle w:val="Normal"/>
        <w:rPr>
          <w:b/>
          <w:szCs w:val="28"/>
        </w:rPr>
      </w:pPr>
      <w:r>
        <w:rPr>
          <w:b/>
          <w:szCs w:val="28"/>
        </w:rPr>
        <w:t>Головного управління                                           Олександр БОГОДИСТИЙ</w:t>
      </w:r>
    </w:p>
    <w:p>
      <w:pPr>
        <w:pStyle w:val="Normal"/>
        <w:rPr>
          <w:b/>
          <w:szCs w:val="28"/>
        </w:rPr>
      </w:pPr>
      <w:r>
        <w:rPr/>
      </w:r>
    </w:p>
    <w:sectPr>
      <w:headerReference w:type="default" r:id="rId2"/>
      <w:type w:val="nextPage"/>
      <w:pgSz w:w="11906" w:h="16838"/>
      <w:pgMar w:left="1701" w:right="567" w:gutter="0" w:header="709" w:top="1134" w:footer="0" w:bottom="170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2"/>
      <w:jc w:val="center"/>
      <w:rPr/>
    </w:pPr>
    <w:r>
      <w:rPr/>
      <w:fldChar w:fldCharType="begin"/>
    </w:r>
    <w:r>
      <w:rPr/>
      <w:instrText xml:space="preserve"> PAGE </w:instrText>
    </w:r>
    <w:r>
      <w:rPr/>
      <w:fldChar w:fldCharType="separate"/>
    </w:r>
    <w:r>
      <w:rPr/>
      <w:t>4</w:t>
    </w:r>
    <w:r>
      <w:rPr/>
      <w:fldChar w:fldCharType="end"/>
    </w:r>
  </w:p>
  <w:p>
    <w:pPr>
      <w:pStyle w:val="Style22"/>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uk-UA"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sz w:val="22"/>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0" w:before="0" w:after="0"/>
      <w:jc w:val="both"/>
    </w:pPr>
    <w:rPr>
      <w:rFonts w:ascii="Times New Roman" w:hAnsi="Times New Roman" w:eastAsia="Times New Roman" w:cs="Times New Roman"/>
      <w:color w:val="auto"/>
      <w:kern w:val="0"/>
      <w:sz w:val="28"/>
      <w:szCs w:val="20"/>
      <w:lang w:val="uk-UA" w:eastAsia="uk-UA" w:bidi="ar-SA"/>
    </w:rPr>
  </w:style>
  <w:style w:type="character" w:styleId="DefaultParagraphFont" w:default="1">
    <w:name w:val="Default Paragraph Font"/>
    <w:uiPriority w:val="1"/>
    <w:semiHidden/>
    <w:unhideWhenUsed/>
    <w:qFormat/>
    <w:rPr/>
  </w:style>
  <w:style w:type="character" w:styleId="Linenumber">
    <w:name w:val="line number"/>
    <w:basedOn w:val="DefaultParagraphFont"/>
    <w:semiHidden/>
    <w:qFormat/>
    <w:rPr/>
  </w:style>
  <w:style w:type="character" w:styleId="Style9">
    <w:name w:val="Hyperlink"/>
    <w:basedOn w:val="DefaultParagraphFont"/>
    <w:rPr>
      <w:color w:val="0000FF"/>
      <w:u w:val="single"/>
    </w:rPr>
  </w:style>
  <w:style w:type="character" w:styleId="Style10" w:customStyle="1">
    <w:name w:val="Верхний колонтитул Знак"/>
    <w:basedOn w:val="DefaultParagraphFont"/>
    <w:qFormat/>
    <w:rPr/>
  </w:style>
  <w:style w:type="character" w:styleId="Rvts44" w:customStyle="1">
    <w:name w:val="rvts44"/>
    <w:basedOn w:val="DefaultParagraphFont"/>
    <w:qFormat/>
    <w:rPr/>
  </w:style>
  <w:style w:type="character" w:styleId="Rvts9" w:customStyle="1">
    <w:name w:val="rvts9"/>
    <w:basedOn w:val="DefaultParagraphFont"/>
    <w:qFormat/>
    <w:rPr/>
  </w:style>
  <w:style w:type="character" w:styleId="Style11" w:customStyle="1">
    <w:name w:val="Текст выноски Знак"/>
    <w:basedOn w:val="DefaultParagraphFont"/>
    <w:link w:val="BalloonText"/>
    <w:semiHidden/>
    <w:qFormat/>
    <w:rPr>
      <w:rFonts w:ascii="Segoe UI" w:hAnsi="Segoe UI"/>
      <w:sz w:val="18"/>
    </w:rPr>
  </w:style>
  <w:style w:type="character" w:styleId="2" w:customStyle="1">
    <w:name w:val="Основной текст (2)_"/>
    <w:basedOn w:val="DefaultParagraphFont"/>
    <w:link w:val="211"/>
    <w:qFormat/>
    <w:rPr/>
  </w:style>
  <w:style w:type="character" w:styleId="21" w:customStyle="1">
    <w:name w:val="Основной текст (2) + Курсив"/>
    <w:basedOn w:val="2"/>
    <w:qFormat/>
    <w:rPr>
      <w:rFonts w:ascii="Times New Roman" w:hAnsi="Times New Roman"/>
      <w:i/>
      <w:sz w:val="28"/>
      <w:shd w:fill="FFFFFF" w:val="clear"/>
    </w:rPr>
  </w:style>
  <w:style w:type="character" w:styleId="Style12">
    <w:name w:val="Emphasis"/>
    <w:basedOn w:val="DefaultParagraphFont"/>
    <w:qFormat/>
    <w:rPr>
      <w:i/>
    </w:rPr>
  </w:style>
  <w:style w:type="character" w:styleId="1" w:customStyle="1">
    <w:name w:val="Неразрешенное упоминание1"/>
    <w:basedOn w:val="DefaultParagraphFont"/>
    <w:uiPriority w:val="99"/>
    <w:semiHidden/>
    <w:unhideWhenUsed/>
    <w:qFormat/>
    <w:rsid w:val="00d45896"/>
    <w:rPr>
      <w:color w:val="605E5C"/>
      <w:shd w:fill="E1DFDD" w:val="clear"/>
    </w:rPr>
  </w:style>
  <w:style w:type="character" w:styleId="Style13">
    <w:name w:val="FollowedHyperlink"/>
    <w:basedOn w:val="DefaultParagraphFont"/>
    <w:uiPriority w:val="99"/>
    <w:semiHidden/>
    <w:unhideWhenUsed/>
    <w:rsid w:val="00d45896"/>
    <w:rPr>
      <w:color w:val="954F72" w:themeColor="followedHyperlink"/>
      <w:u w:val="single"/>
    </w:rPr>
  </w:style>
  <w:style w:type="character" w:styleId="Style14" w:customStyle="1">
    <w:name w:val="Нижний колонтитул Знак"/>
    <w:basedOn w:val="DefaultParagraphFont"/>
    <w:uiPriority w:val="99"/>
    <w:qFormat/>
    <w:rsid w:val="00a31a6f"/>
    <w:rPr>
      <w:rFonts w:ascii="Times New Roman" w:hAnsi="Times New Roman"/>
      <w:sz w:val="28"/>
    </w:rPr>
  </w:style>
  <w:style w:type="character" w:styleId="Style15" w:customStyle="1">
    <w:name w:val="Основной текст Знак"/>
    <w:basedOn w:val="DefaultParagraphFont"/>
    <w:uiPriority w:val="1"/>
    <w:qFormat/>
    <w:rsid w:val="00f11870"/>
    <w:rPr>
      <w:rFonts w:ascii="Times New Roman" w:hAnsi="Times New Roman"/>
      <w:sz w:val="28"/>
      <w:szCs w:val="28"/>
      <w:lang w:eastAsia="en-US"/>
    </w:rPr>
  </w:style>
  <w:style w:type="character" w:styleId="UnresolvedMention">
    <w:name w:val="Unresolved Mention"/>
    <w:basedOn w:val="DefaultParagraphFont"/>
    <w:uiPriority w:val="99"/>
    <w:semiHidden/>
    <w:unhideWhenUsed/>
    <w:qFormat/>
    <w:rsid w:val="00ca7497"/>
    <w:rPr>
      <w:color w:val="605E5C"/>
      <w:shd w:fill="E1DFDD" w:val="clear"/>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link w:val="Style15"/>
    <w:uiPriority w:val="1"/>
    <w:qFormat/>
    <w:rsid w:val="00f11870"/>
    <w:pPr>
      <w:widowControl w:val="false"/>
      <w:spacing w:before="120" w:after="0"/>
      <w:ind w:left="569" w:hanging="0"/>
    </w:pPr>
    <w:rPr>
      <w:szCs w:val="28"/>
      <w:lang w:eastAsia="en-US"/>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Покажчик"/>
    <w:basedOn w:val="Normal"/>
    <w:qFormat/>
    <w:pPr>
      <w:suppressLineNumbers/>
    </w:pPr>
    <w:rPr>
      <w:rFonts w:cs="Arial"/>
    </w:rPr>
  </w:style>
  <w:style w:type="paragraph" w:styleId="NormalWeb">
    <w:name w:val="Normal (Web)"/>
    <w:basedOn w:val="Normal"/>
    <w:qFormat/>
    <w:pPr>
      <w:spacing w:beforeAutospacing="1" w:afterAutospacing="1"/>
      <w:jc w:val="left"/>
    </w:pPr>
    <w:rPr>
      <w:sz w:val="24"/>
    </w:rPr>
  </w:style>
  <w:style w:type="paragraph" w:styleId="Rvps2" w:customStyle="1">
    <w:name w:val="rvps2"/>
    <w:basedOn w:val="Normal"/>
    <w:qFormat/>
    <w:pPr>
      <w:spacing w:beforeAutospacing="1" w:afterAutospacing="1"/>
      <w:jc w:val="left"/>
    </w:pPr>
    <w:rPr>
      <w:sz w:val="24"/>
    </w:rPr>
  </w:style>
  <w:style w:type="paragraph" w:styleId="Style21">
    <w:name w:val="Верхній і нижній колонтитули"/>
    <w:basedOn w:val="Normal"/>
    <w:qFormat/>
    <w:pPr/>
    <w:rPr/>
  </w:style>
  <w:style w:type="paragraph" w:styleId="Style22">
    <w:name w:val="Header"/>
    <w:basedOn w:val="Normal"/>
    <w:link w:val="Style10"/>
    <w:pPr>
      <w:tabs>
        <w:tab w:val="clear" w:pos="708"/>
        <w:tab w:val="center" w:pos="4677" w:leader="none"/>
        <w:tab w:val="right" w:pos="9355" w:leader="none"/>
      </w:tabs>
    </w:pPr>
    <w:rPr/>
  </w:style>
  <w:style w:type="paragraph" w:styleId="BalloonText">
    <w:name w:val="Balloon Text"/>
    <w:basedOn w:val="Normal"/>
    <w:link w:val="Style11"/>
    <w:semiHidden/>
    <w:qFormat/>
    <w:pPr/>
    <w:rPr>
      <w:rFonts w:ascii="Segoe UI" w:hAnsi="Segoe UI"/>
      <w:sz w:val="18"/>
    </w:rPr>
  </w:style>
  <w:style w:type="paragraph" w:styleId="211" w:customStyle="1">
    <w:name w:val="Основной текст (2)1"/>
    <w:basedOn w:val="Normal"/>
    <w:link w:val="2"/>
    <w:qFormat/>
    <w:pPr>
      <w:widowControl w:val="false"/>
      <w:shd w:val="clear" w:color="auto" w:fill="FFFFFF"/>
      <w:spacing w:lineRule="exact" w:line="485"/>
    </w:pPr>
    <w:rPr/>
  </w:style>
  <w:style w:type="paragraph" w:styleId="ListParagraph">
    <w:name w:val="List Paragraph"/>
    <w:basedOn w:val="Normal"/>
    <w:qFormat/>
    <w:pPr>
      <w:spacing w:before="0" w:after="0"/>
      <w:ind w:left="720" w:hanging="0"/>
      <w:contextualSpacing/>
    </w:pPr>
    <w:rPr/>
  </w:style>
  <w:style w:type="paragraph" w:styleId="Default" w:customStyle="1">
    <w:name w:val="Default"/>
    <w:qFormat/>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uk-UA" w:eastAsia="uk-UA" w:bidi="ar-SA"/>
    </w:rPr>
  </w:style>
  <w:style w:type="paragraph" w:styleId="Style23">
    <w:name w:val="Footer"/>
    <w:basedOn w:val="Normal"/>
    <w:link w:val="Style14"/>
    <w:uiPriority w:val="99"/>
    <w:unhideWhenUsed/>
    <w:rsid w:val="00a31a6f"/>
    <w:pPr>
      <w:tabs>
        <w:tab w:val="clear" w:pos="708"/>
        <w:tab w:val="center" w:pos="4819" w:leader="none"/>
        <w:tab w:val="right" w:pos="9639" w:leader="none"/>
      </w:tabs>
    </w:pPr>
    <w:rPr/>
  </w:style>
  <w:style w:type="paragraph" w:styleId="Revision">
    <w:name w:val="Revision"/>
    <w:uiPriority w:val="99"/>
    <w:semiHidden/>
    <w:qFormat/>
    <w:rsid w:val="00ec7770"/>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0"/>
      <w:lang w:val="uk-UA" w:eastAsia="uk-UA" w:bidi="ar-SA"/>
    </w:rPr>
  </w:style>
  <w:style w:type="paragraph" w:styleId="Style24">
    <w:name w:val="Вміст таблиці"/>
    <w:basedOn w:val="Normal"/>
    <w:qFormat/>
    <w:pPr>
      <w:widowControl w:val="false"/>
      <w:suppressLineNumbers/>
    </w:pPr>
    <w:rPr/>
  </w:style>
  <w:style w:type="paragraph" w:styleId="Style25">
    <w:name w:val="Заголовок таблиці"/>
    <w:basedOn w:val="Style24"/>
    <w:qFormat/>
    <w:pPr>
      <w:suppressLineNumbers/>
      <w:jc w:val="center"/>
    </w:pPr>
    <w:rPr>
      <w:b/>
      <w:bCs/>
    </w:rPr>
  </w:style>
  <w:style w:type="paragraph" w:styleId="TableParagraph">
    <w:name w:val="Table Paragraph"/>
    <w:basedOn w:val="Normal"/>
    <w:qFormat/>
    <w:pPr>
      <w:spacing w:before="48" w:after="0"/>
      <w:ind w:left="60" w:right="42" w:hanging="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1">
    <w:name w:val="Table Simple 1"/>
    <w:basedOn w:val="a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af2">
    <w:name w:val="Table Grid"/>
    <w:basedOn w:val="a1"/>
    <w:uiPriority w:val="39"/>
    <w:rsid w:val="009531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DDB40-5AC3-4F4E-9FF8-512B5022D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Application>LibreOffice/7.5.0.3$Windows_X86_64 LibreOffice_project/c21113d003cd3efa8c53188764377a8272d9d6de</Application>
  <AppVersion>15.0000</AppVersion>
  <Pages>4</Pages>
  <Words>677</Words>
  <Characters>4759</Characters>
  <CharactersWithSpaces>5411</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2025-07-02T12:34:00Z</dcterms:created>
  <dc:creator>Yanina Shinkaruk</dc:creator>
  <dc:description/>
  <dc:language>uk-UA</dc:language>
  <cp:lastModifiedBy/>
  <cp:lastPrinted>2025-06-27T05:07:00Z</cp:lastPrinted>
  <dcterms:modified xsi:type="dcterms:W3CDTF">2026-03-31T11:27:51Z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