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4" w:after="0"/>
        <w:ind w:left="5223" w:hanging="0"/>
        <w:jc w:val="left"/>
        <w:rPr/>
      </w:pPr>
      <w:r>
        <w:rPr/>
        <w:t>ЗАТВЕРДЖЕНО</w:t>
      </w:r>
    </w:p>
    <w:p>
      <w:pPr>
        <w:pStyle w:val="Normal"/>
        <w:ind w:left="5223" w:hanging="0"/>
        <w:jc w:val="left"/>
        <w:rPr/>
      </w:pPr>
      <w:r>
        <w:rPr/>
        <w:t>Наказ</w:t>
      </w:r>
      <w:r>
        <w:rPr>
          <w:spacing w:val="-11"/>
        </w:rPr>
        <w:t xml:space="preserve"> Головного управління </w:t>
      </w:r>
      <w:r>
        <w:rPr/>
        <w:t>Пенсійного</w:t>
      </w:r>
      <w:r>
        <w:rPr>
          <w:spacing w:val="-11"/>
        </w:rPr>
        <w:t xml:space="preserve"> </w:t>
      </w:r>
      <w:r>
        <w:rPr/>
        <w:t>фонду</w:t>
      </w:r>
      <w:r>
        <w:rPr>
          <w:spacing w:val="-11"/>
        </w:rPr>
        <w:t xml:space="preserve"> </w:t>
      </w:r>
      <w:r>
        <w:rPr/>
        <w:t>України у Київській області</w:t>
      </w:r>
    </w:p>
    <w:p>
      <w:pPr>
        <w:pStyle w:val="Normal"/>
        <w:tabs>
          <w:tab w:val="clear" w:pos="708"/>
          <w:tab w:val="left" w:pos="7387" w:leader="none"/>
          <w:tab w:val="left" w:pos="8214" w:leader="none"/>
        </w:tabs>
        <w:ind w:left="5223" w:hanging="0"/>
        <w:jc w:val="left"/>
        <w:rPr>
          <w:spacing w:val="-1"/>
        </w:rPr>
      </w:pPr>
      <w:r>
        <w:rPr/>
        <w:t>25.03.2026</w:t>
      </w:r>
      <w:r>
        <w:rPr/>
        <w:t xml:space="preserve"> №</w:t>
      </w:r>
      <w:r>
        <w:rPr>
          <w:spacing w:val="-1"/>
        </w:rPr>
        <w:t xml:space="preserve"> </w:t>
      </w:r>
      <w:r>
        <w:rPr>
          <w:spacing w:val="-1"/>
        </w:rPr>
        <w:t>2112</w:t>
      </w:r>
    </w:p>
    <w:p>
      <w:pPr>
        <w:pStyle w:val="Normal"/>
        <w:tabs>
          <w:tab w:val="clear" w:pos="708"/>
          <w:tab w:val="left" w:pos="7387" w:leader="none"/>
          <w:tab w:val="left" w:pos="8214" w:leader="none"/>
        </w:tabs>
        <w:ind w:left="5223" w:hanging="0"/>
        <w:rPr>
          <w:spacing w:val="-1"/>
        </w:rPr>
      </w:pPr>
      <w:r>
        <w:rPr>
          <w:spacing w:val="-1"/>
        </w:rPr>
      </w:r>
    </w:p>
    <w:p>
      <w:pPr>
        <w:pStyle w:val="Normal"/>
        <w:tabs>
          <w:tab w:val="clear" w:pos="708"/>
          <w:tab w:val="left" w:pos="7387" w:leader="none"/>
          <w:tab w:val="left" w:pos="8214" w:leader="none"/>
        </w:tabs>
        <w:ind w:left="5223" w:hanging="0"/>
        <w:rPr/>
      </w:pPr>
      <w:r>
        <w:rPr/>
      </w:r>
    </w:p>
    <w:p>
      <w:pPr>
        <w:pStyle w:val="Normal"/>
        <w:spacing w:before="88" w:after="0"/>
        <w:ind w:left="2599" w:right="2663" w:hanging="0"/>
        <w:jc w:val="center"/>
        <w:rPr>
          <w:b/>
        </w:rPr>
      </w:pPr>
      <w:r>
        <w:rPr>
          <w:b/>
        </w:rPr>
        <w:t>ІНФОРМАЦІЙНА</w:t>
      </w:r>
      <w:r>
        <w:rPr>
          <w:b/>
          <w:spacing w:val="-8"/>
        </w:rPr>
        <w:t xml:space="preserve"> </w:t>
      </w:r>
      <w:r>
        <w:rPr>
          <w:b/>
        </w:rPr>
        <w:t>КАРТКА</w:t>
      </w:r>
    </w:p>
    <w:p>
      <w:pPr>
        <w:pStyle w:val="Default"/>
        <w:jc w:val="center"/>
        <w:rPr>
          <w:b/>
          <w:color w:val="auto"/>
          <w:sz w:val="26"/>
          <w:szCs w:val="26"/>
        </w:rPr>
      </w:pPr>
      <w:r>
        <w:rPr>
          <w:b/>
          <w:bCs/>
          <w:color w:val="000000"/>
          <w:sz w:val="26"/>
          <w:szCs w:val="26"/>
          <w:shd w:fill="FFFFFF" w:val="clear"/>
        </w:rPr>
        <w:t xml:space="preserve">адміністративної послуги з надання інформації з реєстру застрахованих осіб Державного реєстру загальнообов’язкового державного соціального страхування </w:t>
      </w:r>
    </w:p>
    <w:p>
      <w:pPr>
        <w:pStyle w:val="Default"/>
        <w:jc w:val="center"/>
        <w:rPr>
          <w:b/>
          <w:color w:val="auto"/>
          <w:sz w:val="26"/>
          <w:szCs w:val="26"/>
        </w:rPr>
      </w:pPr>
      <w:r>
        <w:rPr/>
      </w:r>
    </w:p>
    <w:p>
      <w:pPr>
        <w:pStyle w:val="Normal"/>
        <w:ind w:right="-143" w:hanging="0"/>
        <w:jc w:val="center"/>
        <w:rPr>
          <w:szCs w:val="28"/>
        </w:rPr>
      </w:pPr>
      <w:r>
        <w:rPr>
          <w:b/>
          <w:bCs/>
          <w:szCs w:val="28"/>
          <w:u w:val="single"/>
        </w:rPr>
        <w:t>Головне управління Пенсійного фонду України у Київській області</w:t>
      </w:r>
    </w:p>
    <w:p>
      <w:pPr>
        <w:pStyle w:val="Normal"/>
        <w:jc w:val="center"/>
        <w:rPr>
          <w:sz w:val="26"/>
          <w:szCs w:val="26"/>
        </w:rPr>
      </w:pPr>
      <w:r>
        <w:rPr>
          <w:sz w:val="26"/>
          <w:szCs w:val="26"/>
        </w:rPr>
        <w:t>(</w:t>
      </w:r>
      <w:r>
        <w:rPr>
          <w:b w:val="false"/>
          <w:bCs w:val="false"/>
          <w:color w:val="000000" w:themeColor="text1"/>
          <w:sz w:val="28"/>
          <w:szCs w:val="28"/>
        </w:rPr>
        <w:t>найменування суб’єкта надання адміністративної послуги / центру надання адміністративних послуг</w:t>
      </w:r>
      <w:r>
        <w:rPr>
          <w:sz w:val="26"/>
          <w:szCs w:val="26"/>
        </w:rPr>
        <w:t>)</w:t>
      </w:r>
    </w:p>
    <w:p>
      <w:pPr>
        <w:pStyle w:val="Normal"/>
        <w:jc w:val="center"/>
        <w:rPr>
          <w:sz w:val="26"/>
          <w:szCs w:val="26"/>
        </w:rPr>
      </w:pPr>
      <w:r>
        <w:rPr>
          <w:sz w:val="26"/>
          <w:szCs w:val="26"/>
        </w:rPr>
      </w:r>
    </w:p>
    <w:tbl>
      <w:tblPr>
        <w:tblW w:w="4950" w:type="pct"/>
        <w:jc w:val="left"/>
        <w:tblInd w:w="60" w:type="dxa"/>
        <w:tblLayout w:type="fixed"/>
        <w:tblCellMar>
          <w:top w:w="60" w:type="dxa"/>
          <w:left w:w="60" w:type="dxa"/>
          <w:bottom w:w="60" w:type="dxa"/>
          <w:right w:w="60" w:type="dxa"/>
        </w:tblCellMar>
        <w:tblLook w:firstRow="1" w:noVBand="1" w:lastRow="0" w:firstColumn="1" w:lastColumn="0" w:noHBand="0" w:val="04a0"/>
      </w:tblPr>
      <w:tblGrid>
        <w:gridCol w:w="576"/>
        <w:gridCol w:w="2727"/>
        <w:gridCol w:w="6238"/>
      </w:tblGrid>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bookmarkStart w:id="0" w:name="n14"/>
            <w:bookmarkEnd w:id="0"/>
            <w:r>
              <w:rPr>
                <w:b/>
                <w:sz w:val="28"/>
                <w:szCs w:val="28"/>
              </w:rPr>
              <w:t>Інформація про суб’єкта надання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Місцезнаходження</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hanging="0"/>
              <w:rPr>
                <w:rStyle w:val="21"/>
                <w:i w:val="false"/>
                <w:i w:val="false"/>
                <w:sz w:val="26"/>
                <w:szCs w:val="26"/>
              </w:rPr>
            </w:pPr>
            <w:r>
              <w:rPr>
                <w:rStyle w:val="21"/>
                <w:i w:val="false"/>
                <w:color w:val="000000"/>
                <w:szCs w:val="28"/>
              </w:rPr>
              <w:t>Юридична адреса: Київська область, м. Фастів, вул. Саєнка Андрія, 10</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2.</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Інформація щодо режиму роботи</w:t>
            </w:r>
          </w:p>
        </w:tc>
        <w:tc>
          <w:tcPr>
            <w:tcW w:w="6238" w:type="dxa"/>
            <w:tcBorders>
              <w:top w:val="outset" w:sz="6" w:space="0" w:color="000000"/>
              <w:left w:val="outset" w:sz="6" w:space="0" w:color="000000"/>
              <w:bottom w:val="outset" w:sz="6" w:space="0" w:color="000000"/>
              <w:right w:val="outset" w:sz="6" w:space="0" w:color="000000"/>
            </w:tcBorders>
          </w:tcPr>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sz w:val="28"/>
                <w:szCs w:val="28"/>
              </w:rPr>
            </w:pPr>
            <w:r>
              <w:rPr>
                <w:sz w:val="28"/>
                <w:szCs w:val="28"/>
              </w:rPr>
              <w:t>Понеділок - четвер 08.00 - 17.00</w:t>
            </w:r>
          </w:p>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sz w:val="28"/>
                <w:szCs w:val="28"/>
              </w:rPr>
            </w:pPr>
            <w:r>
              <w:rPr>
                <w:rStyle w:val="Style12"/>
                <w:i w:val="false"/>
                <w:iCs w:val="false"/>
                <w:sz w:val="28"/>
                <w:szCs w:val="28"/>
              </w:rPr>
              <w:t>П’ятниця 08.00 - 15.45</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3.</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Телефон, адреса</w:t>
            </w:r>
          </w:p>
          <w:p>
            <w:pPr>
              <w:pStyle w:val="Normal"/>
              <w:widowControl w:val="false"/>
              <w:jc w:val="left"/>
              <w:rPr>
                <w:sz w:val="28"/>
                <w:szCs w:val="28"/>
              </w:rPr>
            </w:pPr>
            <w:r>
              <w:rPr>
                <w:sz w:val="28"/>
                <w:szCs w:val="28"/>
              </w:rPr>
              <w:t>електронної пошти,</w:t>
            </w:r>
          </w:p>
          <w:p>
            <w:pPr>
              <w:pStyle w:val="Normal"/>
              <w:widowControl w:val="false"/>
              <w:jc w:val="left"/>
              <w:rPr>
                <w:sz w:val="28"/>
                <w:szCs w:val="28"/>
              </w:rPr>
            </w:pPr>
            <w:r>
              <w:rPr>
                <w:sz w:val="28"/>
                <w:szCs w:val="28"/>
              </w:rPr>
              <w:t>вебсайт</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hanging="0"/>
              <w:rPr>
                <w:rStyle w:val="21"/>
                <w:i w:val="false"/>
                <w:i w:val="false"/>
                <w:szCs w:val="28"/>
              </w:rPr>
            </w:pPr>
            <w:r>
              <w:rPr>
                <w:rStyle w:val="21"/>
                <w:i w:val="false"/>
                <w:szCs w:val="28"/>
              </w:rPr>
              <w:t>0 800 505 780</w:t>
            </w:r>
          </w:p>
          <w:p>
            <w:pPr>
              <w:pStyle w:val="Normal"/>
              <w:widowControl w:val="false"/>
              <w:tabs>
                <w:tab w:val="clear" w:pos="708"/>
                <w:tab w:val="left" w:pos="229" w:leader="none"/>
              </w:tabs>
              <w:ind w:hanging="0"/>
              <w:rPr>
                <w:lang w:val="en-US"/>
              </w:rPr>
            </w:pPr>
            <w:r>
              <w:rPr>
                <w:lang w:val="en-US"/>
              </w:rPr>
              <w:t>gu@ko.pfu.gov.ua</w:t>
            </w:r>
          </w:p>
          <w:p>
            <w:pPr>
              <w:pStyle w:val="Normal"/>
              <w:widowControl w:val="false"/>
              <w:tabs>
                <w:tab w:val="clear" w:pos="708"/>
                <w:tab w:val="left" w:pos="229" w:leader="none"/>
              </w:tabs>
              <w:ind w:hanging="0"/>
              <w:rPr>
                <w:rStyle w:val="21"/>
                <w:i w:val="false"/>
                <w:i w:val="false"/>
                <w:sz w:val="26"/>
                <w:szCs w:val="26"/>
              </w:rPr>
            </w:pPr>
            <w:r>
              <w:rPr>
                <w:rStyle w:val="Style12"/>
                <w:i w:val="false"/>
                <w:sz w:val="26"/>
                <w:szCs w:val="26"/>
                <w:lang w:val="en-US"/>
              </w:rPr>
              <w:t>http://www.pfu.gov.ua/ko/</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Нормативні акти, якими регламентується надання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4.</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Закони України</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захист персональних даних”;</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збір та облік єдиного внеску на загальнообов’язкове державне соціальне страхування”;</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електронну ідентифікацію та електронні довірчі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5.</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Кабінету Міністрів України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Положення про Єдиний державний вебпортал електронних послуг, затверджене постановою Кабінету Міністрів України від 04 грудня 2019 року № 1137 “Питання Єдиного державного вебпорталу електронних послуг та Реєстру адміністративних послуг”;</w:t>
            </w:r>
          </w:p>
          <w:p>
            <w:pPr>
              <w:pStyle w:val="Normal"/>
              <w:widowControl w:val="false"/>
              <w:tabs>
                <w:tab w:val="clear" w:pos="708"/>
                <w:tab w:val="left" w:pos="229" w:leader="none"/>
              </w:tabs>
              <w:ind w:firstLine="390"/>
              <w:rPr>
                <w:sz w:val="28"/>
                <w:szCs w:val="28"/>
              </w:rPr>
            </w:pPr>
            <w:r>
              <w:rPr>
                <w:sz w:val="28"/>
                <w:szCs w:val="28"/>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6.</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центральних органів виконавчої влади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suppressAutoHyphens w:val="true"/>
              <w:bidi w:val="0"/>
              <w:spacing w:lineRule="auto" w:line="240" w:before="0" w:after="0"/>
              <w:ind w:left="57" w:right="57" w:firstLine="397"/>
              <w:jc w:val="both"/>
              <w:rPr>
                <w:sz w:val="28"/>
                <w:szCs w:val="28"/>
              </w:rPr>
            </w:pPr>
            <w:r>
              <w:rPr>
                <w:color w:val="000000" w:themeColor="text1"/>
                <w:sz w:val="28"/>
                <w:szCs w:val="28"/>
              </w:rPr>
              <w:t>Положення про реєстр застрахованих осіб Державного реєстру загальнообов’язкового державного соціального страхування, затверджене постановою правління Пенсійного фонду України від 18 червня 2014 року № 10-1, зареєстроване в Міністерстві юстиції України 08 липня 2014 року за № 785/25562 (у редакції постанови правління Пенсійного фонду України від 27 березня 2018 року №8-1);</w:t>
            </w:r>
          </w:p>
          <w:p>
            <w:pPr>
              <w:pStyle w:val="Normal"/>
              <w:widowControl w:val="false"/>
              <w:tabs>
                <w:tab w:val="clear" w:pos="708"/>
                <w:tab w:val="left" w:pos="229" w:leader="none"/>
              </w:tabs>
              <w:suppressAutoHyphens w:val="true"/>
              <w:bidi w:val="0"/>
              <w:spacing w:lineRule="auto" w:line="240" w:before="0" w:after="0"/>
              <w:ind w:left="57" w:right="57" w:firstLine="397"/>
              <w:jc w:val="both"/>
              <w:rPr>
                <w:sz w:val="28"/>
                <w:szCs w:val="28"/>
              </w:rPr>
            </w:pPr>
            <w:r>
              <w:rPr>
                <w:color w:val="000000" w:themeColor="text1"/>
                <w:sz w:val="28"/>
                <w:szCs w:val="28"/>
              </w:rPr>
              <w:t>Положення про організацію прийому та обслуговування осіб, які звертаються до органів Пенсійного фонду України, затверджене постановою правління Пенсійного фонду України від 30 липня 2015 року № 13-1, зареєстроване в Міністерстві юстиції України 18 серпня 2015 року за № 991/27436.</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Умови отримання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7.</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Особи, які мають право на отримання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Default"/>
              <w:widowControl w:val="false"/>
              <w:tabs>
                <w:tab w:val="clear" w:pos="708"/>
                <w:tab w:val="left" w:pos="229" w:leader="none"/>
              </w:tabs>
              <w:suppressAutoHyphens w:val="true"/>
              <w:bidi w:val="0"/>
              <w:spacing w:lineRule="auto" w:line="240" w:before="0" w:after="0"/>
              <w:ind w:left="113" w:right="113" w:firstLine="340"/>
              <w:jc w:val="both"/>
              <w:rPr/>
            </w:pPr>
            <w:r>
              <w:rPr>
                <w:color w:val="000000" w:themeColor="text1"/>
                <w:sz w:val="28"/>
                <w:szCs w:val="28"/>
                <w:shd w:fill="FFFFFF" w:val="clear"/>
              </w:rPr>
              <w:t>Застрахована особа (у разі якщо застрахованою особою є неповнолітня або недієздатна особа чи особа, цивільна дієздатність якої обмежена, батьки, опікун, піклувальник (далі – законний представник), представник закладу, який здійснює опіку та піклування);</w:t>
            </w:r>
          </w:p>
          <w:p>
            <w:pPr>
              <w:pStyle w:val="Default"/>
              <w:widowControl w:val="false"/>
              <w:tabs>
                <w:tab w:val="clear" w:pos="708"/>
                <w:tab w:val="left" w:pos="229" w:leader="none"/>
              </w:tabs>
              <w:suppressAutoHyphens w:val="true"/>
              <w:bidi w:val="0"/>
              <w:spacing w:lineRule="auto" w:line="240" w:before="0" w:after="0"/>
              <w:ind w:left="113" w:right="113" w:firstLine="340"/>
              <w:jc w:val="both"/>
              <w:rPr/>
            </w:pPr>
            <w:r>
              <w:rPr>
                <w:color w:val="000000" w:themeColor="text1"/>
                <w:sz w:val="28"/>
                <w:szCs w:val="28"/>
                <w:shd w:fill="FFFFFF" w:val="clear"/>
              </w:rPr>
              <w:t>страхувальники – про застрахованих осіб, які перебувають у трудових відносинах з цими страхувальниками, за період перебування особи у трудових відносинах із страхувальником, а також відомості про страховий стаж цих застрахованих осіб, необхідні для призначення соціальних виплат; представник застрахованої страхувальника.</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8.</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Підстава для отримання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Rvps2"/>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Звернення до суб’єкта надання адміністративної послуги / центру надання адміністративних послуг.</w:t>
            </w:r>
          </w:p>
        </w:tc>
      </w:tr>
      <w:tr>
        <w:trPr>
          <w:trHeight w:val="1760" w:hRule="atLeast"/>
        </w:trPr>
        <w:tc>
          <w:tcPr>
            <w:tcW w:w="576" w:type="dxa"/>
            <w:tcBorders>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9.</w:t>
            </w:r>
          </w:p>
        </w:tc>
        <w:tc>
          <w:tcPr>
            <w:tcW w:w="2727" w:type="dxa"/>
            <w:tcBorders>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Перелік необхідних документів</w:t>
            </w:r>
          </w:p>
        </w:tc>
        <w:tc>
          <w:tcPr>
            <w:tcW w:w="6238" w:type="dxa"/>
            <w:tcBorders>
              <w:left w:val="outset" w:sz="6" w:space="0" w:color="000000"/>
              <w:bottom w:val="outset" w:sz="6" w:space="0" w:color="000000"/>
              <w:right w:val="outset" w:sz="6" w:space="0" w:color="000000"/>
            </w:tcBorders>
          </w:tcPr>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Заявник, особа якого посвідчується паспортом громадянина України або іншим документом, що посвідчує особу (паспортний документ іноземця / посвідка на постійне проживання / посвідчення біженця / посвідчення особи, яка потребує додаткового захисту), пред’являє документ, що засвідчує реєстрацію особи в Державному реєстрі фізичних осіб–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або свідоцтво про загальнообов’язкове соціальне страхування чи пенсійне посвідчення;</w:t>
            </w:r>
          </w:p>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документи, що дають змогу ідентифікувати застраховану особу та її законного представника чи представника закладу, який здійснює опіку та піклування, а також документи, що підтверджують статус законного представника застрахованої особи чи представника закладу, який здійснює опіку та піклування (відповідне посвідчення, свідоцтво про народження, рішення суду тощо) (якщо застрахованою особою є неповнолітня або недієздатна особа чи особа, цивільна дієздатність якої обмежена);</w:t>
            </w:r>
          </w:p>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документи, що посвідчують особу представника застрахованої особи / страхувальника та її повноваження діяти від імені особи, яку він представляє, а також засвідчених копій документів, що дають змогу ідентифікувати застраховану особу, страхувальника.</w:t>
            </w:r>
          </w:p>
        </w:tc>
      </w:tr>
      <w:tr>
        <w:trPr/>
        <w:tc>
          <w:tcPr>
            <w:tcW w:w="576" w:type="dxa"/>
            <w:tcBorders>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10.</w:t>
            </w:r>
          </w:p>
        </w:tc>
        <w:tc>
          <w:tcPr>
            <w:tcW w:w="2727" w:type="dxa"/>
            <w:tcBorders>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Спосіб подання документів</w:t>
            </w:r>
          </w:p>
        </w:tc>
        <w:tc>
          <w:tcPr>
            <w:tcW w:w="6238" w:type="dxa"/>
            <w:tcBorders>
              <w:left w:val="outset" w:sz="6" w:space="0" w:color="000000"/>
              <w:bottom w:val="outset" w:sz="6" w:space="0" w:color="000000"/>
              <w:right w:val="outset" w:sz="6" w:space="0" w:color="000000"/>
            </w:tcBorders>
          </w:tcPr>
          <w:p>
            <w:pPr>
              <w:pStyle w:val="Normal"/>
              <w:widowControl w:val="false"/>
              <w:ind w:firstLine="390"/>
              <w:rPr>
                <w:sz w:val="28"/>
                <w:szCs w:val="28"/>
              </w:rPr>
            </w:pPr>
            <w:r>
              <w:rPr>
                <w:sz w:val="28"/>
                <w:szCs w:val="28"/>
              </w:rPr>
              <w:t>Особисте звернення до сервісних центрів головних управлінь Пенсійного фонду України в областях та м. Києві, центрів надання адміністративних послуг;</w:t>
            </w:r>
          </w:p>
          <w:p>
            <w:pPr>
              <w:pStyle w:val="Normal"/>
              <w:widowControl w:val="false"/>
              <w:ind w:firstLine="390"/>
              <w:rPr>
                <w:sz w:val="28"/>
                <w:szCs w:val="28"/>
              </w:rPr>
            </w:pPr>
            <w:r>
              <w:rPr>
                <w:sz w:val="28"/>
                <w:szCs w:val="28"/>
              </w:rPr>
              <w:t>в електронній формі центрів через надання вебпортал електронних послуг, мобільний додаток Пенсійного фонду України або Єдиний державний вебпортал електронних послуг (Портал Дія) 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tc>
      </w:tr>
      <w:tr>
        <w:trPr>
          <w:trHeight w:val="735" w:hRule="atLeast"/>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11.</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Платність (безоплатність) надання</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Надається безоплатно.</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12.</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Строк надання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390"/>
              <w:rPr>
                <w:sz w:val="28"/>
                <w:szCs w:val="28"/>
              </w:rPr>
            </w:pPr>
            <w:r>
              <w:rPr>
                <w:sz w:val="28"/>
                <w:szCs w:val="28"/>
              </w:rPr>
              <w:t>Надання інформації з реєстру застрахованих осіб Державного реєстру загальнообов’язкового державного соціального страхування надається в режимі реального часу.</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13.</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Перелік підстав для відмови в наданні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suppressAutoHyphens w:val="true"/>
              <w:bidi w:val="0"/>
              <w:spacing w:lineRule="auto" w:line="240" w:before="0" w:after="0"/>
              <w:ind w:left="57" w:right="57" w:firstLine="397"/>
              <w:jc w:val="both"/>
              <w:rPr>
                <w:sz w:val="28"/>
                <w:szCs w:val="28"/>
              </w:rPr>
            </w:pPr>
            <w:r>
              <w:rPr>
                <w:color w:val="000000"/>
                <w:sz w:val="28"/>
                <w:szCs w:val="28"/>
                <w:shd w:fill="FFFFFF" w:val="clear"/>
              </w:rPr>
              <w:t>Не надано документи, що посвідчують особу або її повноваження / не здійснено електронну ідентифікацію фізичної особи або представника юридичної особи.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14.</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Результат надання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Надання інформації з реєстру застрахованих осіб Державного реєстру загальнообов’язкового державного соціального страхування за обраною заявником формою: індивідуальні відомості про застраховану особу (форма ОК-2 / ОК-5 / ОК-7);</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дані про нараховану заробітну плату (дохід); дані про нараховану заробітну плату (дохід) у межах максимальної величини, яка враховується для розрахунку всіх соціальних виплат;</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витяг з реєстру застрахованих осіб Державного реєстру загальнообов’язкового державного соціального страхування;</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дані про трудовий та страховий стаж;</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дані про особливі умови праці;</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довідка про розмір пенсії пенсіонера;</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довідка для призначення субсидій, а у разі відсутності в реєстрі застрахованих осіб Державного реєстру загальнообов’язкового соціального страхування державного інформації про застраховану особу за визначеними параметрами довідка про відсутність індивідуальних відомостей про особу.</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15.</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Способи отримання відповіді (результату)</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spacing w:beforeAutospacing="0" w:before="0" w:afterAutospacing="0" w:after="0"/>
              <w:ind w:firstLine="390"/>
              <w:jc w:val="both"/>
              <w:textAlignment w:val="baseline"/>
              <w:rPr>
                <w:sz w:val="28"/>
                <w:szCs w:val="28"/>
              </w:rPr>
            </w:pPr>
            <w:r>
              <w:rPr>
                <w:color w:val="000000" w:themeColor="text1"/>
                <w:sz w:val="28"/>
                <w:szCs w:val="28"/>
              </w:rPr>
              <w:t>У спосіб, у який подано звернення.</w:t>
            </w:r>
          </w:p>
        </w:tc>
      </w:tr>
    </w:tbl>
    <w:p>
      <w:pPr>
        <w:pStyle w:val="Normal"/>
        <w:rPr>
          <w:szCs w:val="28"/>
        </w:rPr>
      </w:pPr>
      <w:r>
        <w:rPr>
          <w:szCs w:val="28"/>
        </w:rPr>
      </w:r>
    </w:p>
    <w:p>
      <w:pPr>
        <w:pStyle w:val="Normal"/>
        <w:rPr>
          <w:szCs w:val="28"/>
        </w:rPr>
      </w:pPr>
      <w:r>
        <w:rPr>
          <w:szCs w:val="28"/>
        </w:rPr>
      </w:r>
      <w:bookmarkStart w:id="1" w:name="n43"/>
      <w:bookmarkStart w:id="2" w:name="n43"/>
      <w:bookmarkEnd w:id="2"/>
    </w:p>
    <w:p>
      <w:pPr>
        <w:pStyle w:val="Normal"/>
        <w:rPr>
          <w:b/>
          <w:szCs w:val="28"/>
        </w:rPr>
      </w:pPr>
      <w:r>
        <w:rPr>
          <w:b/>
          <w:szCs w:val="28"/>
        </w:rPr>
        <w:t xml:space="preserve">В.о. начальника </w:t>
      </w:r>
    </w:p>
    <w:p>
      <w:pPr>
        <w:pStyle w:val="Normal"/>
        <w:rPr>
          <w:b/>
          <w:szCs w:val="28"/>
        </w:rPr>
      </w:pPr>
      <w:r>
        <w:rPr>
          <w:b/>
          <w:szCs w:val="28"/>
        </w:rPr>
        <w:t>Головного управління                                           Олександр БОГОДИСТИЙ</w:t>
      </w:r>
    </w:p>
    <w:p>
      <w:pPr>
        <w:pStyle w:val="Normal"/>
        <w:rPr>
          <w:b/>
          <w:szCs w:val="28"/>
        </w:rPr>
      </w:pPr>
      <w:r>
        <w:rPr/>
      </w:r>
    </w:p>
    <w:sectPr>
      <w:headerReference w:type="default" r:id="rId2"/>
      <w:type w:val="nextPage"/>
      <w:pgSz w:w="11906" w:h="16838"/>
      <w:pgMar w:left="1701" w:right="567" w:gutter="0" w:header="709" w:top="1134" w:footer="0" w:bottom="170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jc w:val="center"/>
      <w:rPr/>
    </w:pPr>
    <w:r>
      <w:rPr/>
      <w:fldChar w:fldCharType="begin"/>
    </w:r>
    <w:r>
      <w:rPr/>
      <w:instrText xml:space="preserve"> PAGE </w:instrText>
    </w:r>
    <w:r>
      <w:rPr/>
      <w:fldChar w:fldCharType="separate"/>
    </w:r>
    <w:r>
      <w:rPr/>
      <w:t>5</w:t>
    </w:r>
    <w:r>
      <w:rPr/>
      <w:fldChar w:fldCharType="end"/>
    </w:r>
  </w:p>
  <w:p>
    <w:pPr>
      <w:pStyle w:val="Style22"/>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 w:val="22"/>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both"/>
    </w:pPr>
    <w:rPr>
      <w:rFonts w:ascii="Times New Roman" w:hAnsi="Times New Roman" w:eastAsia="Times New Roman" w:cs="Times New Roman"/>
      <w:color w:val="auto"/>
      <w:kern w:val="0"/>
      <w:sz w:val="28"/>
      <w:szCs w:val="20"/>
      <w:lang w:val="uk-UA" w:eastAsia="uk-UA"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semiHidden/>
    <w:qFormat/>
    <w:rPr/>
  </w:style>
  <w:style w:type="character" w:styleId="Style9">
    <w:name w:val="Hyperlink"/>
    <w:basedOn w:val="DefaultParagraphFont"/>
    <w:rPr>
      <w:color w:val="0000FF"/>
      <w:u w:val="single"/>
    </w:rPr>
  </w:style>
  <w:style w:type="character" w:styleId="Style10" w:customStyle="1">
    <w:name w:val="Верхний колонтитул Знак"/>
    <w:basedOn w:val="DefaultParagraphFont"/>
    <w:qFormat/>
    <w:rPr/>
  </w:style>
  <w:style w:type="character" w:styleId="Rvts44" w:customStyle="1">
    <w:name w:val="rvts44"/>
    <w:basedOn w:val="DefaultParagraphFont"/>
    <w:qFormat/>
    <w:rPr/>
  </w:style>
  <w:style w:type="character" w:styleId="Rvts9" w:customStyle="1">
    <w:name w:val="rvts9"/>
    <w:basedOn w:val="DefaultParagraphFont"/>
    <w:qFormat/>
    <w:rPr/>
  </w:style>
  <w:style w:type="character" w:styleId="Style11" w:customStyle="1">
    <w:name w:val="Текст выноски Знак"/>
    <w:basedOn w:val="DefaultParagraphFont"/>
    <w:link w:val="BalloonText"/>
    <w:semiHidden/>
    <w:qFormat/>
    <w:rPr>
      <w:rFonts w:ascii="Segoe UI" w:hAnsi="Segoe UI"/>
      <w:sz w:val="18"/>
    </w:rPr>
  </w:style>
  <w:style w:type="character" w:styleId="2" w:customStyle="1">
    <w:name w:val="Основной текст (2)_"/>
    <w:basedOn w:val="DefaultParagraphFont"/>
    <w:link w:val="211"/>
    <w:qFormat/>
    <w:rPr/>
  </w:style>
  <w:style w:type="character" w:styleId="21" w:customStyle="1">
    <w:name w:val="Основной текст (2) + Курсив"/>
    <w:basedOn w:val="2"/>
    <w:qFormat/>
    <w:rPr>
      <w:rFonts w:ascii="Times New Roman" w:hAnsi="Times New Roman"/>
      <w:i/>
      <w:sz w:val="28"/>
      <w:shd w:fill="FFFFFF" w:val="clear"/>
    </w:rPr>
  </w:style>
  <w:style w:type="character" w:styleId="Style12">
    <w:name w:val="Emphasis"/>
    <w:basedOn w:val="DefaultParagraphFont"/>
    <w:qFormat/>
    <w:rPr>
      <w:i/>
    </w:rPr>
  </w:style>
  <w:style w:type="character" w:styleId="1" w:customStyle="1">
    <w:name w:val="Неразрешенное упоминание1"/>
    <w:basedOn w:val="DefaultParagraphFont"/>
    <w:uiPriority w:val="99"/>
    <w:semiHidden/>
    <w:unhideWhenUsed/>
    <w:qFormat/>
    <w:rsid w:val="00d45896"/>
    <w:rPr>
      <w:color w:val="605E5C"/>
      <w:shd w:fill="E1DFDD" w:val="clear"/>
    </w:rPr>
  </w:style>
  <w:style w:type="character" w:styleId="Style13">
    <w:name w:val="FollowedHyperlink"/>
    <w:basedOn w:val="DefaultParagraphFont"/>
    <w:uiPriority w:val="99"/>
    <w:semiHidden/>
    <w:unhideWhenUsed/>
    <w:rsid w:val="00d45896"/>
    <w:rPr>
      <w:color w:val="954F72" w:themeColor="followedHyperlink"/>
      <w:u w:val="single"/>
    </w:rPr>
  </w:style>
  <w:style w:type="character" w:styleId="Style14" w:customStyle="1">
    <w:name w:val="Нижний колонтитул Знак"/>
    <w:basedOn w:val="DefaultParagraphFont"/>
    <w:uiPriority w:val="99"/>
    <w:qFormat/>
    <w:rsid w:val="00a31a6f"/>
    <w:rPr>
      <w:rFonts w:ascii="Times New Roman" w:hAnsi="Times New Roman"/>
      <w:sz w:val="28"/>
    </w:rPr>
  </w:style>
  <w:style w:type="character" w:styleId="Style15" w:customStyle="1">
    <w:name w:val="Основной текст Знак"/>
    <w:basedOn w:val="DefaultParagraphFont"/>
    <w:uiPriority w:val="1"/>
    <w:qFormat/>
    <w:rsid w:val="00f11870"/>
    <w:rPr>
      <w:rFonts w:ascii="Times New Roman" w:hAnsi="Times New Roman"/>
      <w:sz w:val="28"/>
      <w:szCs w:val="28"/>
      <w:lang w:eastAsia="en-US"/>
    </w:rPr>
  </w:style>
  <w:style w:type="character" w:styleId="UnresolvedMention">
    <w:name w:val="Unresolved Mention"/>
    <w:basedOn w:val="DefaultParagraphFont"/>
    <w:uiPriority w:val="99"/>
    <w:semiHidden/>
    <w:unhideWhenUsed/>
    <w:qFormat/>
    <w:rsid w:val="00ca7497"/>
    <w:rPr>
      <w:color w:val="605E5C"/>
      <w:shd w:fill="E1DFDD" w:val="clear"/>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link w:val="Style15"/>
    <w:uiPriority w:val="1"/>
    <w:qFormat/>
    <w:rsid w:val="00f11870"/>
    <w:pPr>
      <w:widowControl w:val="false"/>
      <w:spacing w:before="120" w:after="0"/>
      <w:ind w:left="569" w:hanging="0"/>
    </w:pPr>
    <w:rPr>
      <w:szCs w:val="28"/>
      <w:lang w:eastAsia="en-US"/>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Покажчик"/>
    <w:basedOn w:val="Normal"/>
    <w:qFormat/>
    <w:pPr>
      <w:suppressLineNumbers/>
    </w:pPr>
    <w:rPr>
      <w:rFonts w:cs="Arial"/>
    </w:rPr>
  </w:style>
  <w:style w:type="paragraph" w:styleId="NormalWeb">
    <w:name w:val="Normal (Web)"/>
    <w:basedOn w:val="Normal"/>
    <w:qFormat/>
    <w:pPr>
      <w:spacing w:beforeAutospacing="1" w:afterAutospacing="1"/>
      <w:jc w:val="left"/>
    </w:pPr>
    <w:rPr>
      <w:sz w:val="24"/>
    </w:rPr>
  </w:style>
  <w:style w:type="paragraph" w:styleId="Rvps2" w:customStyle="1">
    <w:name w:val="rvps2"/>
    <w:basedOn w:val="Normal"/>
    <w:qFormat/>
    <w:pPr>
      <w:spacing w:beforeAutospacing="1" w:afterAutospacing="1"/>
      <w:jc w:val="left"/>
    </w:pPr>
    <w:rPr>
      <w:sz w:val="24"/>
    </w:rPr>
  </w:style>
  <w:style w:type="paragraph" w:styleId="Style21">
    <w:name w:val="Верхній і нижній колонтитули"/>
    <w:basedOn w:val="Normal"/>
    <w:qFormat/>
    <w:pPr/>
    <w:rPr/>
  </w:style>
  <w:style w:type="paragraph" w:styleId="Style22">
    <w:name w:val="Header"/>
    <w:basedOn w:val="Normal"/>
    <w:link w:val="Style10"/>
    <w:pPr>
      <w:tabs>
        <w:tab w:val="clear" w:pos="708"/>
        <w:tab w:val="center" w:pos="4677" w:leader="none"/>
        <w:tab w:val="right" w:pos="9355" w:leader="none"/>
      </w:tabs>
    </w:pPr>
    <w:rPr/>
  </w:style>
  <w:style w:type="paragraph" w:styleId="BalloonText">
    <w:name w:val="Balloon Text"/>
    <w:basedOn w:val="Normal"/>
    <w:link w:val="Style11"/>
    <w:semiHidden/>
    <w:qFormat/>
    <w:pPr/>
    <w:rPr>
      <w:rFonts w:ascii="Segoe UI" w:hAnsi="Segoe UI"/>
      <w:sz w:val="18"/>
    </w:rPr>
  </w:style>
  <w:style w:type="paragraph" w:styleId="211" w:customStyle="1">
    <w:name w:val="Основной текст (2)1"/>
    <w:basedOn w:val="Normal"/>
    <w:link w:val="2"/>
    <w:qFormat/>
    <w:pPr>
      <w:widowControl w:val="false"/>
      <w:shd w:val="clear" w:color="auto" w:fill="FFFFFF"/>
      <w:spacing w:lineRule="exact" w:line="485"/>
    </w:pPr>
    <w:rPr/>
  </w:style>
  <w:style w:type="paragraph" w:styleId="ListParagraph">
    <w:name w:val="List Paragraph"/>
    <w:basedOn w:val="Normal"/>
    <w:qFormat/>
    <w:pPr>
      <w:spacing w:before="0" w:after="0"/>
      <w:ind w:left="720" w:hanging="0"/>
      <w:contextualSpacing/>
    </w:pPr>
    <w:rPr/>
  </w:style>
  <w:style w:type="paragraph" w:styleId="Default" w:customStyle="1">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uk-UA" w:eastAsia="uk-UA" w:bidi="ar-SA"/>
    </w:rPr>
  </w:style>
  <w:style w:type="paragraph" w:styleId="Style23">
    <w:name w:val="Footer"/>
    <w:basedOn w:val="Normal"/>
    <w:link w:val="Style14"/>
    <w:uiPriority w:val="99"/>
    <w:unhideWhenUsed/>
    <w:rsid w:val="00a31a6f"/>
    <w:pPr>
      <w:tabs>
        <w:tab w:val="clear" w:pos="708"/>
        <w:tab w:val="center" w:pos="4819" w:leader="none"/>
        <w:tab w:val="right" w:pos="9639" w:leader="none"/>
      </w:tabs>
    </w:pPr>
    <w:rPr/>
  </w:style>
  <w:style w:type="paragraph" w:styleId="Revision">
    <w:name w:val="Revision"/>
    <w:uiPriority w:val="99"/>
    <w:semiHidden/>
    <w:qFormat/>
    <w:rsid w:val="00ec7770"/>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uk-UA" w:eastAsia="uk-UA" w:bidi="ar-SA"/>
    </w:rPr>
  </w:style>
  <w:style w:type="paragraph" w:styleId="Style24">
    <w:name w:val="Вміст таблиці"/>
    <w:basedOn w:val="Normal"/>
    <w:qFormat/>
    <w:pPr>
      <w:widowControl w:val="false"/>
      <w:suppressLineNumbers/>
    </w:pPr>
    <w:rPr/>
  </w:style>
  <w:style w:type="paragraph" w:styleId="Style25">
    <w:name w:val="Заголовок таблиці"/>
    <w:basedOn w:val="Style24"/>
    <w:qFormat/>
    <w:pPr>
      <w:suppressLineNumbers/>
      <w:jc w:val="center"/>
    </w:pPr>
    <w:rPr>
      <w:b/>
      <w:bCs/>
    </w:rPr>
  </w:style>
  <w:style w:type="paragraph" w:styleId="TableParagraph">
    <w:name w:val="Table Paragraph"/>
    <w:basedOn w:val="Normal"/>
    <w:qFormat/>
    <w:pPr>
      <w:spacing w:before="48" w:after="0"/>
      <w:ind w:left="60" w:right="42"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1">
    <w:name w:val="Table Simple 1"/>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2">
    <w:name w:val="Table Grid"/>
    <w:basedOn w:val="a1"/>
    <w:uiPriority w:val="39"/>
    <w:rsid w:val="009531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DB40-5AC3-4F4E-9FF8-512B5022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Application>LibreOffice/7.5.0.3$Windows_X86_64 LibreOffice_project/c21113d003cd3efa8c53188764377a8272d9d6de</Application>
  <AppVersion>15.0000</AppVersion>
  <Pages>5</Pages>
  <Words>821</Words>
  <Characters>5797</Characters>
  <CharactersWithSpaces>6590</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Yanina Shinkaruk</dc:creator>
  <dc:description/>
  <dc:language>uk-UA</dc:language>
  <cp:lastModifiedBy/>
  <dcterms:modified xsi:type="dcterms:W3CDTF">2026-03-31T11:17:45Z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